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2941" w:rsidRDefault="00891B6B" w:rsidP="002436C1">
      <w:pPr>
        <w:pStyle w:val="TableFigureCaption"/>
      </w:pPr>
      <w:r>
        <w:rPr>
          <w:noProof/>
        </w:rPr>
        <w:drawing>
          <wp:anchor distT="0" distB="0" distL="114300" distR="114300" simplePos="0" relativeHeight="251672576" behindDoc="0" locked="0" layoutInCell="1" allowOverlap="1" wp14:anchorId="0A998885" wp14:editId="3F1702AD">
            <wp:simplePos x="0" y="0"/>
            <wp:positionH relativeFrom="column">
              <wp:posOffset>-145156</wp:posOffset>
            </wp:positionH>
            <wp:positionV relativeFrom="paragraph">
              <wp:posOffset>38636</wp:posOffset>
            </wp:positionV>
            <wp:extent cx="4269615" cy="695460"/>
            <wp:effectExtent l="19050" t="0" r="0" b="0"/>
            <wp:wrapNone/>
            <wp:docPr id="1"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9" cstate="print"/>
                    <a:srcRect t="21506"/>
                    <a:stretch>
                      <a:fillRect/>
                    </a:stretch>
                  </pic:blipFill>
                  <pic:spPr bwMode="auto">
                    <a:xfrm>
                      <a:off x="0" y="0"/>
                      <a:ext cx="4269615" cy="695460"/>
                    </a:xfrm>
                    <a:prstGeom prst="rect">
                      <a:avLst/>
                    </a:prstGeom>
                    <a:noFill/>
                    <a:ln w="9525">
                      <a:noFill/>
                      <a:miter lim="800000"/>
                      <a:headEnd/>
                      <a:tailEnd/>
                    </a:ln>
                  </pic:spPr>
                </pic:pic>
              </a:graphicData>
            </a:graphic>
          </wp:anchor>
        </w:drawing>
      </w:r>
    </w:p>
    <w:p w:rsidR="002A6B02" w:rsidRDefault="002A6B02"/>
    <w:p w:rsidR="002A6B02" w:rsidRDefault="002A6B02" w:rsidP="00AB380F">
      <w:pPr>
        <w:tabs>
          <w:tab w:val="left" w:pos="8550"/>
        </w:tabs>
      </w:pPr>
    </w:p>
    <w:p w:rsidR="002A6B02" w:rsidRDefault="002A6B02"/>
    <w:p w:rsidR="002A6B02" w:rsidRDefault="002D663A" w:rsidP="00AB380F">
      <w:r>
        <w:rPr>
          <w:noProof/>
        </w:rPr>
        <mc:AlternateContent>
          <mc:Choice Requires="wps">
            <w:drawing>
              <wp:anchor distT="0" distB="0" distL="114300" distR="114300" simplePos="0" relativeHeight="251660288" behindDoc="0" locked="0" layoutInCell="1" allowOverlap="1" wp14:anchorId="70CE6EB4" wp14:editId="3A79D0A6">
                <wp:simplePos x="0" y="0"/>
                <wp:positionH relativeFrom="column">
                  <wp:posOffset>-10160</wp:posOffset>
                </wp:positionH>
                <wp:positionV relativeFrom="paragraph">
                  <wp:posOffset>316230</wp:posOffset>
                </wp:positionV>
                <wp:extent cx="5511800" cy="842645"/>
                <wp:effectExtent l="0" t="0" r="0" b="0"/>
                <wp:wrapNone/>
                <wp:docPr id="2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1800" cy="842645"/>
                        </a:xfrm>
                        <a:prstGeom prst="rect">
                          <a:avLst/>
                        </a:prstGeom>
                        <a:solidFill>
                          <a:srgbClr val="433B67"/>
                        </a:solidFill>
                        <a:ln>
                          <a:noFill/>
                        </a:ln>
                        <a:effectLst/>
                        <a:extLst>
                          <a:ext uri="{91240B29-F687-4F45-9708-019B960494DF}">
                            <a14:hiddenLine xmlns:a14="http://schemas.microsoft.com/office/drawing/2010/main" w="0">
                              <a:solidFill>
                                <a:schemeClr val="bg1">
                                  <a:lumMod val="100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txbx>
                        <w:txbxContent>
                          <w:p w:rsidR="00F55003" w:rsidRPr="00875B70" w:rsidRDefault="00F55003" w:rsidP="00F24446">
                            <w:pPr>
                              <w:pStyle w:val="TitleProposal"/>
                              <w:spacing w:before="200" w:after="200"/>
                              <w:rPr>
                                <w:rFonts w:ascii="Arial Black" w:hAnsi="Arial Black"/>
                                <w:color w:val="FFFFFF" w:themeColor="background1"/>
                              </w:rPr>
                            </w:pPr>
                            <w:r>
                              <w:rPr>
                                <w:rFonts w:ascii="Arial Black" w:hAnsi="Arial Black"/>
                                <w:color w:val="FFFFFF" w:themeColor="background1"/>
                              </w:rPr>
                              <w:t>2012 Ex Ante Load Impacts for Pacific Gas &amp;</w:t>
                            </w:r>
                            <w:r w:rsidR="00DD79FE">
                              <w:rPr>
                                <w:rFonts w:ascii="Arial Black" w:hAnsi="Arial Black"/>
                                <w:color w:val="FFFFFF" w:themeColor="background1"/>
                              </w:rPr>
                              <w:t xml:space="preserve"> </w:t>
                            </w:r>
                            <w:r>
                              <w:rPr>
                                <w:rFonts w:ascii="Arial Black" w:hAnsi="Arial Black"/>
                                <w:color w:val="FFFFFF" w:themeColor="background1"/>
                              </w:rPr>
                              <w:t xml:space="preserve">Electric Company's Non-residential Time-Of-Use Rates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8pt;margin-top:24.9pt;width:434pt;height:6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" fillcolor="#433b67" stroked="f" strokecolor="white [3212]" strokeweight="0">
                <v:shadow color="#3f3151 [1607]" opacity=".5" offset="1pt"/>
                <v:textbox>
                  <w:txbxContent>
                    <w:p w:rsidR="00F55003" w:rsidRPr="00875B70" w:rsidRDefault="00F55003" w:rsidP="00F24446">
                      <w:pPr>
                        <w:pStyle w:val="TitleProposal"/>
                        <w:spacing w:before="200" w:after="200"/>
                        <w:rPr>
                          <w:rFonts w:ascii="Arial Black" w:hAnsi="Arial Black"/>
                          <w:color w:val="FFFFFF" w:themeColor="background1"/>
                        </w:rPr>
                      </w:pPr>
                      <w:r>
                        <w:rPr>
                          <w:rFonts w:ascii="Arial Black" w:hAnsi="Arial Black"/>
                          <w:color w:val="FFFFFF" w:themeColor="background1"/>
                        </w:rPr>
                        <w:t>2012 Ex Ante Load Impacts for Pacific Gas &amp;</w:t>
                      </w:r>
                      <w:r w:rsidR="00DD79FE">
                        <w:rPr>
                          <w:rFonts w:ascii="Arial Black" w:hAnsi="Arial Black"/>
                          <w:color w:val="FFFFFF" w:themeColor="background1"/>
                        </w:rPr>
                        <w:t xml:space="preserve"> </w:t>
                      </w:r>
                      <w:r>
                        <w:rPr>
                          <w:rFonts w:ascii="Arial Black" w:hAnsi="Arial Black"/>
                          <w:color w:val="FFFFFF" w:themeColor="background1"/>
                        </w:rPr>
                        <w:t xml:space="preserve">Electric Company's Non-residential Time-Of-Use Rates </w:t>
                      </w:r>
                    </w:p>
                  </w:txbxContent>
                </v:textbox>
              </v:shape>
            </w:pict>
          </mc:Fallback>
        </mc:AlternateContent>
      </w:r>
    </w:p>
    <w:p w:rsidR="002A6B02" w:rsidRDefault="002A6B02"/>
    <w:p w:rsidR="002A6B02" w:rsidRDefault="002A6B02"/>
    <w:p w:rsidR="002A6B02" w:rsidRDefault="00B86C76">
      <w:r>
        <w:rPr>
          <w:noProof/>
        </w:rPr>
        <w:drawing>
          <wp:anchor distT="0" distB="0" distL="114300" distR="114300" simplePos="0" relativeHeight="251687936" behindDoc="1" locked="0" layoutInCell="1" allowOverlap="1" wp14:anchorId="6E464173" wp14:editId="1849CE1E">
            <wp:simplePos x="0" y="0"/>
            <wp:positionH relativeFrom="column">
              <wp:posOffset>2868501</wp:posOffset>
            </wp:positionH>
            <wp:positionV relativeFrom="paragraph">
              <wp:posOffset>221687</wp:posOffset>
            </wp:positionV>
            <wp:extent cx="2633998" cy="1674253"/>
            <wp:effectExtent l="19050" t="0" r="0"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t="27374"/>
                    <a:stretch>
                      <a:fillRect/>
                    </a:stretch>
                  </pic:blipFill>
                  <pic:spPr bwMode="auto">
                    <a:xfrm>
                      <a:off x="0" y="0"/>
                      <a:ext cx="2633998" cy="1674253"/>
                    </a:xfrm>
                    <a:prstGeom prst="rect">
                      <a:avLst/>
                    </a:prstGeom>
                    <a:noFill/>
                    <a:ln w="9525">
                      <a:noFill/>
                      <a:miter lim="800000"/>
                      <a:headEnd/>
                      <a:tailEnd/>
                    </a:ln>
                  </pic:spPr>
                </pic:pic>
              </a:graphicData>
            </a:graphic>
          </wp:anchor>
        </w:drawing>
      </w:r>
      <w:r w:rsidR="002D663A">
        <w:rPr>
          <w:noProof/>
        </w:rPr>
        <mc:AlternateContent>
          <mc:Choice Requires="wps">
            <w:drawing>
              <wp:anchor distT="0" distB="0" distL="114300" distR="114300" simplePos="0" relativeHeight="251679744" behindDoc="0" locked="0" layoutInCell="1" allowOverlap="1" wp14:anchorId="627519C1" wp14:editId="4169FE8B">
                <wp:simplePos x="0" y="0"/>
                <wp:positionH relativeFrom="column">
                  <wp:posOffset>-4663440</wp:posOffset>
                </wp:positionH>
                <wp:positionV relativeFrom="paragraph">
                  <wp:posOffset>189230</wp:posOffset>
                </wp:positionV>
                <wp:extent cx="699770" cy="33864550"/>
                <wp:effectExtent l="0" t="0" r="24130" b="25400"/>
                <wp:wrapNone/>
                <wp:docPr id="22"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9770" cy="33864550"/>
                        </a:xfrm>
                        <a:prstGeom prst="straightConnector1">
                          <a:avLst/>
                        </a:prstGeom>
                        <a:noFill/>
                        <a:ln w="12700">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6" o:spid="_x0000_s1026" type="#_x0000_t32" style="position:absolute;margin-left:-367.2pt;margin-top:14.9pt;width:55.1pt;height:2666.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" strokecolor="black [3213]" strokeweight="1pt">
                <v:shadow color="#3f3151 [1607]" opacity=".5" offset="1pt"/>
              </v:shape>
            </w:pict>
          </mc:Fallback>
        </mc:AlternateContent>
      </w:r>
    </w:p>
    <w:p w:rsidR="002A6B02" w:rsidRDefault="002D663A">
      <w:r>
        <w:rPr>
          <w:noProof/>
        </w:rPr>
        <mc:AlternateContent>
          <mc:Choice Requires="wps">
            <w:drawing>
              <wp:anchor distT="0" distB="0" distL="114300" distR="114300" simplePos="0" relativeHeight="251661312" behindDoc="0" locked="0" layoutInCell="1" allowOverlap="1" wp14:anchorId="1A56F6E3" wp14:editId="154A1485">
                <wp:simplePos x="0" y="0"/>
                <wp:positionH relativeFrom="column">
                  <wp:posOffset>-12065</wp:posOffset>
                </wp:positionH>
                <wp:positionV relativeFrom="paragraph">
                  <wp:posOffset>158115</wp:posOffset>
                </wp:positionV>
                <wp:extent cx="2629535" cy="842645"/>
                <wp:effectExtent l="0" t="0" r="0" b="0"/>
                <wp:wrapNone/>
                <wp:docPr id="2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9535" cy="842645"/>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txbx>
                        <w:txbxContent>
                          <w:p w:rsidR="00F55003" w:rsidRPr="00334712" w:rsidRDefault="00F55003" w:rsidP="00AB380F">
                            <w:pPr>
                              <w:pStyle w:val="PreparedFor"/>
                              <w:spacing w:before="0" w:after="0"/>
                              <w:jc w:val="left"/>
                              <w:rPr>
                                <w:rFonts w:cs="Arial"/>
                                <w:sz w:val="24"/>
                                <w:szCs w:val="24"/>
                              </w:rPr>
                            </w:pPr>
                            <w:r w:rsidRPr="00334712">
                              <w:rPr>
                                <w:rFonts w:cs="Arial"/>
                                <w:sz w:val="24"/>
                                <w:szCs w:val="24"/>
                              </w:rPr>
                              <w:t>Prepared for:</w:t>
                            </w:r>
                          </w:p>
                          <w:p w:rsidR="00F55003" w:rsidRDefault="00F55003" w:rsidP="00AB380F">
                            <w:pPr>
                              <w:pStyle w:val="PreparedForCompany"/>
                              <w:jc w:val="left"/>
                              <w:rPr>
                                <w:rFonts w:cs="Arial"/>
                                <w:sz w:val="24"/>
                              </w:rPr>
                            </w:pPr>
                            <w:r>
                              <w:rPr>
                                <w:rFonts w:cs="Arial"/>
                                <w:sz w:val="24"/>
                              </w:rPr>
                              <w:t xml:space="preserve">Pacific Gas and Electric </w:t>
                            </w:r>
                          </w:p>
                          <w:p w:rsidR="00F55003" w:rsidRPr="00334712" w:rsidRDefault="00F55003" w:rsidP="00AB380F">
                            <w:pPr>
                              <w:pStyle w:val="PreparedForCompany"/>
                              <w:jc w:val="left"/>
                              <w:rPr>
                                <w:rFonts w:cs="Arial"/>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7" type="#_x0000_t202" style="position:absolute;margin-left:-.95pt;margin-top:12.45pt;width:207.05pt;height:66.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" fillcolor="white [3212]" stroked="f" strokecolor="#f2f2f2 [3041]" strokeweight="3pt">
                <v:shadow color="#7f7f7f [1601]" opacity=".5" offset="1pt"/>
                <v:textbox>
                  <w:txbxContent>
                    <w:p w:rsidR="00F55003" w:rsidRPr="00334712" w:rsidRDefault="00F55003" w:rsidP="00AB380F">
                      <w:pPr>
                        <w:pStyle w:val="PreparedFor"/>
                        <w:spacing w:before="0" w:after="0"/>
                        <w:jc w:val="left"/>
                        <w:rPr>
                          <w:rFonts w:cs="Arial"/>
                          <w:sz w:val="24"/>
                          <w:szCs w:val="24"/>
                        </w:rPr>
                      </w:pPr>
                      <w:r w:rsidRPr="00334712">
                        <w:rPr>
                          <w:rFonts w:cs="Arial"/>
                          <w:sz w:val="24"/>
                          <w:szCs w:val="24"/>
                        </w:rPr>
                        <w:t>Prepared for:</w:t>
                      </w:r>
                    </w:p>
                    <w:p w:rsidR="00F55003" w:rsidRDefault="00F55003" w:rsidP="00AB380F">
                      <w:pPr>
                        <w:pStyle w:val="PreparedForCompany"/>
                        <w:jc w:val="left"/>
                        <w:rPr>
                          <w:rFonts w:cs="Arial"/>
                          <w:sz w:val="24"/>
                        </w:rPr>
                      </w:pPr>
                      <w:r>
                        <w:rPr>
                          <w:rFonts w:cs="Arial"/>
                          <w:sz w:val="24"/>
                        </w:rPr>
                        <w:t xml:space="preserve">Pacific Gas and Electric </w:t>
                      </w:r>
                    </w:p>
                    <w:p w:rsidR="00F55003" w:rsidRPr="00334712" w:rsidRDefault="00F55003" w:rsidP="00AB380F">
                      <w:pPr>
                        <w:pStyle w:val="PreparedForCompany"/>
                        <w:jc w:val="left"/>
                        <w:rPr>
                          <w:rFonts w:cs="Arial"/>
                          <w:sz w:val="24"/>
                        </w:rPr>
                      </w:pPr>
                    </w:p>
                  </w:txbxContent>
                </v:textbox>
              </v:shape>
            </w:pict>
          </mc:Fallback>
        </mc:AlternateContent>
      </w:r>
    </w:p>
    <w:p w:rsidR="002A6B02" w:rsidRDefault="002A6B02"/>
    <w:p w:rsidR="002A6B02" w:rsidRDefault="002A6B02"/>
    <w:p w:rsidR="002A6B02" w:rsidRDefault="002D663A">
      <w:r>
        <w:rPr>
          <w:noProof/>
        </w:rPr>
        <mc:AlternateContent>
          <mc:Choice Requires="wps">
            <w:drawing>
              <wp:anchor distT="0" distB="0" distL="114300" distR="114300" simplePos="0" relativeHeight="251662336" behindDoc="0" locked="0" layoutInCell="1" allowOverlap="1" wp14:anchorId="5601F2AE" wp14:editId="23C7D82D">
                <wp:simplePos x="0" y="0"/>
                <wp:positionH relativeFrom="column">
                  <wp:posOffset>-12065</wp:posOffset>
                </wp:positionH>
                <wp:positionV relativeFrom="paragraph">
                  <wp:posOffset>285750</wp:posOffset>
                </wp:positionV>
                <wp:extent cx="2644140" cy="403860"/>
                <wp:effectExtent l="0" t="0" r="3810" b="0"/>
                <wp:wrapNone/>
                <wp:docPr id="2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140" cy="403860"/>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txbx>
                        <w:txbxContent>
                          <w:p w:rsidR="00F55003" w:rsidRPr="00334712" w:rsidRDefault="002D663A" w:rsidP="00AB380F">
                            <w:pPr>
                              <w:pStyle w:val="TitleProposal"/>
                              <w:rPr>
                                <w:b w:val="0"/>
                                <w:color w:val="auto"/>
                                <w:sz w:val="24"/>
                                <w:szCs w:val="24"/>
                              </w:rPr>
                            </w:pPr>
                            <w:r>
                              <w:rPr>
                                <w:b w:val="0"/>
                                <w:color w:val="auto"/>
                                <w:sz w:val="24"/>
                                <w:szCs w:val="24"/>
                              </w:rPr>
                              <w:t>April 1</w:t>
                            </w:r>
                            <w:r w:rsidR="00F55003" w:rsidRPr="00334712">
                              <w:rPr>
                                <w:b w:val="0"/>
                                <w:color w:val="auto"/>
                                <w:sz w:val="24"/>
                                <w:szCs w:val="24"/>
                              </w:rPr>
                              <w:t xml:space="preserve">, </w:t>
                            </w:r>
                            <w:r w:rsidR="00F55003">
                              <w:rPr>
                                <w:b w:val="0"/>
                                <w:color w:val="auto"/>
                                <w:sz w:val="24"/>
                                <w:szCs w:val="24"/>
                              </w:rPr>
                              <w:t>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8" type="#_x0000_t202" style="position:absolute;margin-left:-.95pt;margin-top:22.5pt;width:208.2pt;height:3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" fillcolor="white [3212]" stroked="f" strokecolor="#f2f2f2 [3041]" strokeweight="3pt">
                <v:shadow color="#622423 [1605]" opacity=".5" offset="1pt"/>
                <v:textbox>
                  <w:txbxContent>
                    <w:p w:rsidR="00F55003" w:rsidRPr="00334712" w:rsidRDefault="002D663A" w:rsidP="00AB380F">
                      <w:pPr>
                        <w:pStyle w:val="TitleProposal"/>
                        <w:rPr>
                          <w:b w:val="0"/>
                          <w:color w:val="auto"/>
                          <w:sz w:val="24"/>
                          <w:szCs w:val="24"/>
                        </w:rPr>
                      </w:pPr>
                      <w:r>
                        <w:rPr>
                          <w:b w:val="0"/>
                          <w:color w:val="auto"/>
                          <w:sz w:val="24"/>
                          <w:szCs w:val="24"/>
                        </w:rPr>
                        <w:t>April 1</w:t>
                      </w:r>
                      <w:r w:rsidR="00F55003" w:rsidRPr="00334712">
                        <w:rPr>
                          <w:b w:val="0"/>
                          <w:color w:val="auto"/>
                          <w:sz w:val="24"/>
                          <w:szCs w:val="24"/>
                        </w:rPr>
                        <w:t xml:space="preserve">, </w:t>
                      </w:r>
                      <w:r w:rsidR="00F55003">
                        <w:rPr>
                          <w:b w:val="0"/>
                          <w:color w:val="auto"/>
                          <w:sz w:val="24"/>
                          <w:szCs w:val="24"/>
                        </w:rPr>
                        <w:t>2013</w:t>
                      </w:r>
                    </w:p>
                  </w:txbxContent>
                </v:textbox>
              </v:shape>
            </w:pict>
          </mc:Fallback>
        </mc:AlternateContent>
      </w:r>
    </w:p>
    <w:p w:rsidR="002A6B02" w:rsidRDefault="002A6B02"/>
    <w:p w:rsidR="00CF7B44" w:rsidRDefault="00FD51F4">
      <w:r>
        <w:rPr>
          <w:noProof/>
        </w:rPr>
        <w:drawing>
          <wp:anchor distT="0" distB="0" distL="114300" distR="114300" simplePos="0" relativeHeight="251689984" behindDoc="1" locked="0" layoutInCell="1" allowOverlap="1" wp14:anchorId="44BCFD74" wp14:editId="21543371">
            <wp:simplePos x="0" y="0"/>
            <wp:positionH relativeFrom="column">
              <wp:posOffset>2868295</wp:posOffset>
            </wp:positionH>
            <wp:positionV relativeFrom="paragraph">
              <wp:posOffset>-4445</wp:posOffset>
            </wp:positionV>
            <wp:extent cx="2633980" cy="172529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srcRect t="3425" b="4794"/>
                    <a:stretch>
                      <a:fillRect/>
                    </a:stretch>
                  </pic:blipFill>
                  <pic:spPr bwMode="auto">
                    <a:xfrm>
                      <a:off x="0" y="0"/>
                      <a:ext cx="2633980" cy="1725295"/>
                    </a:xfrm>
                    <a:prstGeom prst="rect">
                      <a:avLst/>
                    </a:prstGeom>
                    <a:noFill/>
                    <a:ln w="9525">
                      <a:noFill/>
                      <a:miter lim="800000"/>
                      <a:headEnd/>
                      <a:tailEnd/>
                    </a:ln>
                  </pic:spPr>
                </pic:pic>
              </a:graphicData>
            </a:graphic>
          </wp:anchor>
        </w:drawing>
      </w:r>
    </w:p>
    <w:p w:rsidR="002A6B02" w:rsidRDefault="002D663A">
      <w:r>
        <w:rPr>
          <w:noProof/>
        </w:rPr>
        <mc:AlternateContent>
          <mc:Choice Requires="wps">
            <w:drawing>
              <wp:anchor distT="0" distB="0" distL="114300" distR="114300" simplePos="0" relativeHeight="251663360" behindDoc="0" locked="0" layoutInCell="1" allowOverlap="1" wp14:anchorId="364649E5" wp14:editId="418DB9D9">
                <wp:simplePos x="0" y="0"/>
                <wp:positionH relativeFrom="column">
                  <wp:posOffset>-10160</wp:posOffset>
                </wp:positionH>
                <wp:positionV relativeFrom="paragraph">
                  <wp:posOffset>80645</wp:posOffset>
                </wp:positionV>
                <wp:extent cx="2627630" cy="1189355"/>
                <wp:effectExtent l="0" t="0" r="1270" b="0"/>
                <wp:wrapNone/>
                <wp:docPr id="1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1189355"/>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txbx>
                        <w:txbxContent>
                          <w:p w:rsidR="00F55003" w:rsidRPr="00334712" w:rsidRDefault="00F55003" w:rsidP="00AB380F">
                            <w:pPr>
                              <w:pStyle w:val="PreparedForCompany"/>
                              <w:jc w:val="left"/>
                              <w:rPr>
                                <w:rFonts w:cs="Arial"/>
                                <w:i/>
                                <w:sz w:val="24"/>
                              </w:rPr>
                            </w:pPr>
                            <w:r w:rsidRPr="00334712">
                              <w:rPr>
                                <w:rFonts w:cs="Arial"/>
                                <w:i/>
                                <w:sz w:val="24"/>
                              </w:rPr>
                              <w:t>Prepared by:</w:t>
                            </w:r>
                          </w:p>
                          <w:p w:rsidR="00F55003" w:rsidRDefault="00F55003" w:rsidP="00AB380F">
                            <w:pPr>
                              <w:pStyle w:val="PreparedForCompany"/>
                              <w:jc w:val="left"/>
                              <w:rPr>
                                <w:rFonts w:cs="Arial"/>
                                <w:sz w:val="24"/>
                              </w:rPr>
                            </w:pPr>
                            <w:r>
                              <w:rPr>
                                <w:rFonts w:cs="Arial"/>
                                <w:sz w:val="24"/>
                              </w:rPr>
                              <w:t>Stephen George, Ph.D.</w:t>
                            </w:r>
                          </w:p>
                          <w:p w:rsidR="00F55003" w:rsidRDefault="00F55003" w:rsidP="00AB380F">
                            <w:pPr>
                              <w:pStyle w:val="PreparedForCompany"/>
                              <w:jc w:val="left"/>
                              <w:rPr>
                                <w:rFonts w:cs="Arial"/>
                                <w:sz w:val="24"/>
                              </w:rPr>
                            </w:pPr>
                            <w:r>
                              <w:rPr>
                                <w:rFonts w:cs="Arial"/>
                                <w:sz w:val="24"/>
                              </w:rPr>
                              <w:t>Josh Bode, M.P.P.</w:t>
                            </w:r>
                          </w:p>
                          <w:p w:rsidR="00F55003" w:rsidRPr="00334712" w:rsidRDefault="00F55003" w:rsidP="00AB380F">
                            <w:pPr>
                              <w:pStyle w:val="PreparedForCompany"/>
                              <w:jc w:val="left"/>
                              <w:rPr>
                                <w:rFonts w:cs="Arial"/>
                                <w:sz w:val="24"/>
                              </w:rPr>
                            </w:pPr>
                            <w:r>
                              <w:rPr>
                                <w:rFonts w:cs="Arial"/>
                                <w:sz w:val="24"/>
                              </w:rPr>
                              <w:t>Sam Holmberg</w:t>
                            </w:r>
                          </w:p>
                          <w:p w:rsidR="00F55003" w:rsidRPr="000B2255" w:rsidRDefault="00F55003" w:rsidP="00AB380F">
                            <w:pPr>
                              <w:pStyle w:val="PreparedForCompany"/>
                              <w:jc w:val="left"/>
                              <w:rPr>
                                <w:rFonts w:ascii="TitilliumText22L Rg" w:hAnsi="TitilliumText22L Rg"/>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9" type="#_x0000_t202" style="position:absolute;margin-left:-.8pt;margin-top:6.35pt;width:206.9pt;height:93.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" fillcolor="white [3212]" stroked="f" strokecolor="#f2f2f2 [3041]" strokeweight="3pt">
                <v:shadow color="#243f60 [1604]" opacity=".5" offset="1pt"/>
                <v:textbox>
                  <w:txbxContent>
                    <w:p w:rsidR="00F55003" w:rsidRPr="00334712" w:rsidRDefault="00F55003" w:rsidP="00AB380F">
                      <w:pPr>
                        <w:pStyle w:val="PreparedForCompany"/>
                        <w:jc w:val="left"/>
                        <w:rPr>
                          <w:rFonts w:cs="Arial"/>
                          <w:i/>
                          <w:sz w:val="24"/>
                        </w:rPr>
                      </w:pPr>
                      <w:r w:rsidRPr="00334712">
                        <w:rPr>
                          <w:rFonts w:cs="Arial"/>
                          <w:i/>
                          <w:sz w:val="24"/>
                        </w:rPr>
                        <w:t>Prepared by:</w:t>
                      </w:r>
                    </w:p>
                    <w:p w:rsidR="00F55003" w:rsidRDefault="00F55003" w:rsidP="00AB380F">
                      <w:pPr>
                        <w:pStyle w:val="PreparedForCompany"/>
                        <w:jc w:val="left"/>
                        <w:rPr>
                          <w:rFonts w:cs="Arial"/>
                          <w:sz w:val="24"/>
                        </w:rPr>
                      </w:pPr>
                      <w:r>
                        <w:rPr>
                          <w:rFonts w:cs="Arial"/>
                          <w:sz w:val="24"/>
                        </w:rPr>
                        <w:t>Stephen George, Ph.D.</w:t>
                      </w:r>
                    </w:p>
                    <w:p w:rsidR="00F55003" w:rsidRDefault="00F55003" w:rsidP="00AB380F">
                      <w:pPr>
                        <w:pStyle w:val="PreparedForCompany"/>
                        <w:jc w:val="left"/>
                        <w:rPr>
                          <w:rFonts w:cs="Arial"/>
                          <w:sz w:val="24"/>
                        </w:rPr>
                      </w:pPr>
                      <w:r>
                        <w:rPr>
                          <w:rFonts w:cs="Arial"/>
                          <w:sz w:val="24"/>
                        </w:rPr>
                        <w:t>Josh Bode, M.P.P.</w:t>
                      </w:r>
                    </w:p>
                    <w:p w:rsidR="00F55003" w:rsidRPr="00334712" w:rsidRDefault="00F55003" w:rsidP="00AB380F">
                      <w:pPr>
                        <w:pStyle w:val="PreparedForCompany"/>
                        <w:jc w:val="left"/>
                        <w:rPr>
                          <w:rFonts w:cs="Arial"/>
                          <w:sz w:val="24"/>
                        </w:rPr>
                      </w:pPr>
                      <w:r>
                        <w:rPr>
                          <w:rFonts w:cs="Arial"/>
                          <w:sz w:val="24"/>
                        </w:rPr>
                        <w:t>Sam Holmberg</w:t>
                      </w:r>
                    </w:p>
                    <w:p w:rsidR="00F55003" w:rsidRPr="000B2255" w:rsidRDefault="00F55003" w:rsidP="00AB380F">
                      <w:pPr>
                        <w:pStyle w:val="PreparedForCompany"/>
                        <w:jc w:val="left"/>
                        <w:rPr>
                          <w:rFonts w:ascii="TitilliumText22L Rg" w:hAnsi="TitilliumText22L Rg"/>
                          <w:sz w:val="28"/>
                          <w:szCs w:val="28"/>
                        </w:rPr>
                      </w:pPr>
                    </w:p>
                  </w:txbxContent>
                </v:textbox>
              </v:shape>
            </w:pict>
          </mc:Fallback>
        </mc:AlternateContent>
      </w:r>
    </w:p>
    <w:p w:rsidR="0084569F" w:rsidRDefault="0084569F" w:rsidP="00305437">
      <w:pPr>
        <w:pStyle w:val="PreparedFor"/>
      </w:pPr>
    </w:p>
    <w:p w:rsidR="0084569F" w:rsidRDefault="0084569F" w:rsidP="00305437">
      <w:pPr>
        <w:pStyle w:val="PreparedFor"/>
      </w:pPr>
    </w:p>
    <w:p w:rsidR="002A6B02" w:rsidRDefault="002A6B02" w:rsidP="00305437">
      <w:pPr>
        <w:pStyle w:val="PreparedForCompany"/>
      </w:pPr>
    </w:p>
    <w:p w:rsidR="00AB380F" w:rsidRPr="00ED253C" w:rsidRDefault="00891B6B" w:rsidP="00AB380F">
      <w:pPr>
        <w:pStyle w:val="PreparedForCompany"/>
        <w:jc w:val="left"/>
      </w:pPr>
      <w:r>
        <w:rPr>
          <w:noProof/>
          <w:szCs w:val="22"/>
        </w:rPr>
        <w:drawing>
          <wp:anchor distT="0" distB="0" distL="114300" distR="114300" simplePos="0" relativeHeight="251688960" behindDoc="1" locked="0" layoutInCell="1" allowOverlap="1" wp14:anchorId="751F83A2" wp14:editId="5509DAD5">
            <wp:simplePos x="0" y="0"/>
            <wp:positionH relativeFrom="column">
              <wp:posOffset>2868501</wp:posOffset>
            </wp:positionH>
            <wp:positionV relativeFrom="paragraph">
              <wp:posOffset>147427</wp:posOffset>
            </wp:positionV>
            <wp:extent cx="2633998" cy="1674254"/>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b="2958"/>
                    <a:stretch>
                      <a:fillRect/>
                    </a:stretch>
                  </pic:blipFill>
                  <pic:spPr bwMode="auto">
                    <a:xfrm>
                      <a:off x="0" y="0"/>
                      <a:ext cx="2633998" cy="1674254"/>
                    </a:xfrm>
                    <a:prstGeom prst="rect">
                      <a:avLst/>
                    </a:prstGeom>
                    <a:noFill/>
                    <a:ln w="9525">
                      <a:noFill/>
                      <a:miter lim="800000"/>
                      <a:headEnd/>
                      <a:tailEnd/>
                    </a:ln>
                  </pic:spPr>
                </pic:pic>
              </a:graphicData>
            </a:graphic>
          </wp:anchor>
        </w:drawing>
      </w:r>
    </w:p>
    <w:p w:rsidR="002A6B02" w:rsidRDefault="002D663A" w:rsidP="00AB380F">
      <w:pPr>
        <w:spacing w:before="240"/>
        <w:ind w:left="-990"/>
        <w:rPr>
          <w:b/>
          <w:color w:val="433B67"/>
          <w:sz w:val="28"/>
          <w:szCs w:val="28"/>
        </w:rPr>
        <w:sectPr w:rsidR="002A6B02" w:rsidSect="00A40B9A">
          <w:headerReference w:type="even" r:id="rId13"/>
          <w:headerReference w:type="default" r:id="rId14"/>
          <w:footerReference w:type="even" r:id="rId15"/>
          <w:footerReference w:type="default" r:id="rId16"/>
          <w:footerReference w:type="first" r:id="rId17"/>
          <w:pgSz w:w="12240" w:h="15840"/>
          <w:pgMar w:top="1440" w:right="1800" w:bottom="1440" w:left="1800" w:header="720" w:footer="720" w:gutter="0"/>
          <w:pgNumType w:fmt="lowerRoman" w:start="1"/>
          <w:cols w:space="720"/>
          <w:titlePg/>
          <w:docGrid w:linePitch="360"/>
        </w:sectPr>
      </w:pPr>
      <w:r>
        <w:rPr>
          <w:noProof/>
        </w:rPr>
        <mc:AlternateContent>
          <mc:Choice Requires="wps">
            <w:drawing>
              <wp:anchor distT="0" distB="0" distL="114300" distR="114300" simplePos="0" relativeHeight="251659263" behindDoc="0" locked="0" layoutInCell="1" allowOverlap="1" wp14:anchorId="761CF651" wp14:editId="50227291">
                <wp:simplePos x="0" y="0"/>
                <wp:positionH relativeFrom="column">
                  <wp:posOffset>3581400</wp:posOffset>
                </wp:positionH>
                <wp:positionV relativeFrom="paragraph">
                  <wp:posOffset>2042795</wp:posOffset>
                </wp:positionV>
                <wp:extent cx="1920240" cy="323850"/>
                <wp:effectExtent l="0" t="0" r="3810" b="0"/>
                <wp:wrapNone/>
                <wp:docPr id="1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323850"/>
                        </a:xfrm>
                        <a:prstGeom prst="rect">
                          <a:avLst/>
                        </a:prstGeom>
                        <a:solidFill>
                          <a:schemeClr val="lt1">
                            <a:lumMod val="100000"/>
                            <a:lumOff val="0"/>
                          </a:schemeClr>
                        </a:solidFill>
                        <a:ln>
                          <a:noFill/>
                        </a:ln>
                        <a:effectLst/>
                        <a:extLst>
                          <a:ext uri="{91240B29-F687-4F45-9708-019B960494DF}">
                            <a14:hiddenLine xmlns:a14="http://schemas.microsoft.com/office/drawing/2010/main" w="31750" cmpd="sng">
                              <a:solidFill>
                                <a:schemeClr val="dk1">
                                  <a:lumMod val="100000"/>
                                  <a:lumOff val="0"/>
                                </a:schemeClr>
                              </a:solidFill>
                              <a:prstDash val="solid"/>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D663A" w:rsidRPr="00334712" w:rsidRDefault="002D663A" w:rsidP="002D663A">
                            <w:pPr>
                              <w:pStyle w:val="PreparedForCompany"/>
                              <w:rPr>
                                <w:rFonts w:cs="Arial"/>
                                <w:sz w:val="24"/>
                              </w:rPr>
                            </w:pPr>
                            <w:r>
                              <w:rPr>
                                <w:rFonts w:cs="Arial"/>
                                <w:sz w:val="24"/>
                              </w:rPr>
                              <w:t xml:space="preserve">CALMAC ID: </w:t>
                            </w:r>
                            <w:r w:rsidRPr="002D663A">
                              <w:rPr>
                                <w:color w:val="000000" w:themeColor="text1"/>
                              </w:rPr>
                              <w:t>PGE0324</w:t>
                            </w:r>
                          </w:p>
                          <w:p w:rsidR="002D663A" w:rsidRDefault="002D663A" w:rsidP="002D663A">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282pt;margin-top:160.85pt;width:151.2pt;height:25.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" fillcolor="white [3201]" stroked="f" strokecolor="black [3200]" strokeweight="2.5pt">
                <v:shadow color="#868686"/>
                <v:textbox>
                  <w:txbxContent>
                    <w:p w:rsidR="002D663A" w:rsidRPr="00334712" w:rsidRDefault="002D663A" w:rsidP="002D663A">
                      <w:pPr>
                        <w:pStyle w:val="PreparedForCompany"/>
                        <w:rPr>
                          <w:rFonts w:cs="Arial"/>
                          <w:sz w:val="24"/>
                        </w:rPr>
                      </w:pPr>
                      <w:r>
                        <w:rPr>
                          <w:rFonts w:cs="Arial"/>
                          <w:sz w:val="24"/>
                        </w:rPr>
                        <w:t xml:space="preserve">CALMAC ID: </w:t>
                      </w:r>
                      <w:r w:rsidRPr="002D663A">
                        <w:rPr>
                          <w:color w:val="000000" w:themeColor="text1"/>
                        </w:rPr>
                        <w:t>PGE0324</w:t>
                      </w:r>
                    </w:p>
                    <w:p w:rsidR="002D663A" w:rsidRDefault="002D663A" w:rsidP="002D663A">
                      <w:pPr>
                        <w:jc w:val="right"/>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5492094E" wp14:editId="017BCD02">
                <wp:simplePos x="0" y="0"/>
                <wp:positionH relativeFrom="column">
                  <wp:posOffset>-12065</wp:posOffset>
                </wp:positionH>
                <wp:positionV relativeFrom="paragraph">
                  <wp:posOffset>55880</wp:posOffset>
                </wp:positionV>
                <wp:extent cx="2629535" cy="842645"/>
                <wp:effectExtent l="0" t="0" r="0" b="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9535" cy="842645"/>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txbx>
                        <w:txbxContent>
                          <w:p w:rsidR="00F55003" w:rsidRPr="00334712" w:rsidRDefault="00F55003" w:rsidP="00D04A27">
                            <w:pPr>
                              <w:pStyle w:val="TitleAddress"/>
                              <w:tabs>
                                <w:tab w:val="clear" w:pos="3960"/>
                              </w:tabs>
                              <w:rPr>
                                <w:b w:val="0"/>
                                <w:color w:val="auto"/>
                                <w:sz w:val="24"/>
                                <w:szCs w:val="24"/>
                              </w:rPr>
                            </w:pPr>
                            <w:r w:rsidRPr="00334712">
                              <w:rPr>
                                <w:b w:val="0"/>
                                <w:color w:val="auto"/>
                                <w:sz w:val="24"/>
                                <w:szCs w:val="24"/>
                              </w:rPr>
                              <w:t>Freeman, Sullivan &amp; Co.</w:t>
                            </w:r>
                            <w:r w:rsidRPr="00334712">
                              <w:rPr>
                                <w:b w:val="0"/>
                                <w:color w:val="auto"/>
                                <w:sz w:val="24"/>
                                <w:szCs w:val="24"/>
                              </w:rPr>
                              <w:br/>
                              <w:t xml:space="preserve">101 Montgomery St., 15th </w:t>
                            </w:r>
                            <w:proofErr w:type="spellStart"/>
                            <w:r w:rsidRPr="00334712">
                              <w:rPr>
                                <w:b w:val="0"/>
                                <w:color w:val="auto"/>
                                <w:sz w:val="24"/>
                                <w:szCs w:val="24"/>
                              </w:rPr>
                              <w:t>Fl</w:t>
                            </w:r>
                            <w:proofErr w:type="spellEnd"/>
                            <w:r w:rsidRPr="00334712">
                              <w:rPr>
                                <w:b w:val="0"/>
                                <w:color w:val="auto"/>
                                <w:sz w:val="24"/>
                                <w:szCs w:val="24"/>
                              </w:rPr>
                              <w:br/>
                              <w:t>San Francisco, CA  94104</w:t>
                            </w:r>
                            <w:r w:rsidRPr="00334712">
                              <w:rPr>
                                <w:b w:val="0"/>
                                <w:color w:val="auto"/>
                                <w:sz w:val="24"/>
                                <w:szCs w:val="24"/>
                              </w:rPr>
                              <w:br/>
                              <w:t>fscgroup.com</w:t>
                            </w:r>
                          </w:p>
                          <w:p w:rsidR="00F55003" w:rsidRPr="000D67D1" w:rsidRDefault="00F55003" w:rsidP="00AB380F">
                            <w:pPr>
                              <w:pStyle w:val="TitleAddress"/>
                            </w:pPr>
                            <w:r w:rsidRPr="000D67D1">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1" type="#_x0000_t202" style="position:absolute;left:0;text-align:left;margin-left:-.95pt;margin-top:4.4pt;width:207.05pt;height:6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" fillcolor="white [3212]" stroked="f" strokecolor="#f2f2f2 [3041]" strokeweight="3pt">
                <v:shadow color="#4e6128 [1606]" opacity=".5" offset="1pt"/>
                <v:textbox>
                  <w:txbxContent>
                    <w:p w:rsidR="00F55003" w:rsidRPr="00334712" w:rsidRDefault="00F55003" w:rsidP="00D04A27">
                      <w:pPr>
                        <w:pStyle w:val="TitleAddress"/>
                        <w:tabs>
                          <w:tab w:val="clear" w:pos="3960"/>
                        </w:tabs>
                        <w:rPr>
                          <w:b w:val="0"/>
                          <w:color w:val="auto"/>
                          <w:sz w:val="24"/>
                          <w:szCs w:val="24"/>
                        </w:rPr>
                      </w:pPr>
                      <w:r w:rsidRPr="00334712">
                        <w:rPr>
                          <w:b w:val="0"/>
                          <w:color w:val="auto"/>
                          <w:sz w:val="24"/>
                          <w:szCs w:val="24"/>
                        </w:rPr>
                        <w:t>Freeman, Sullivan &amp; Co.</w:t>
                      </w:r>
                      <w:r w:rsidRPr="00334712">
                        <w:rPr>
                          <w:b w:val="0"/>
                          <w:color w:val="auto"/>
                          <w:sz w:val="24"/>
                          <w:szCs w:val="24"/>
                        </w:rPr>
                        <w:br/>
                        <w:t>101 Montgomery St., 15th Fl</w:t>
                      </w:r>
                      <w:r w:rsidRPr="00334712">
                        <w:rPr>
                          <w:b w:val="0"/>
                          <w:color w:val="auto"/>
                          <w:sz w:val="24"/>
                          <w:szCs w:val="24"/>
                        </w:rPr>
                        <w:br/>
                        <w:t>San Francisco, CA  94104</w:t>
                      </w:r>
                      <w:r w:rsidRPr="00334712">
                        <w:rPr>
                          <w:b w:val="0"/>
                          <w:color w:val="auto"/>
                          <w:sz w:val="24"/>
                          <w:szCs w:val="24"/>
                        </w:rPr>
                        <w:br/>
                        <w:t>fscgroup.com</w:t>
                      </w:r>
                    </w:p>
                    <w:p w:rsidR="00F55003" w:rsidRPr="000D67D1" w:rsidRDefault="00F55003" w:rsidP="00AB380F">
                      <w:pPr>
                        <w:pStyle w:val="TitleAddress"/>
                      </w:pPr>
                      <w:r w:rsidRPr="000D67D1">
                        <w:tab/>
                      </w:r>
                    </w:p>
                  </w:txbxContent>
                </v:textbox>
              </v:shape>
            </w:pict>
          </mc:Fallback>
        </mc:AlternateContent>
      </w:r>
      <w:r>
        <w:rPr>
          <w:b/>
          <w:noProof/>
          <w:color w:val="433B67"/>
          <w:sz w:val="28"/>
          <w:szCs w:val="28"/>
        </w:rPr>
        <mc:AlternateContent>
          <mc:Choice Requires="wps">
            <w:drawing>
              <wp:anchor distT="0" distB="0" distL="114300" distR="114300" simplePos="0" relativeHeight="251684864" behindDoc="0" locked="0" layoutInCell="1" allowOverlap="1" wp14:anchorId="057466C6" wp14:editId="5D977160">
                <wp:simplePos x="0" y="0"/>
                <wp:positionH relativeFrom="column">
                  <wp:posOffset>-1211580</wp:posOffset>
                </wp:positionH>
                <wp:positionV relativeFrom="paragraph">
                  <wp:posOffset>2327910</wp:posOffset>
                </wp:positionV>
                <wp:extent cx="8181975" cy="635"/>
                <wp:effectExtent l="0" t="0" r="9525" b="37465"/>
                <wp:wrapNone/>
                <wp:docPr id="1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81975" cy="635"/>
                        </a:xfrm>
                        <a:prstGeom prst="straightConnector1">
                          <a:avLst/>
                        </a:prstGeom>
                        <a:noFill/>
                        <a:ln w="127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95.4pt;margin-top:183.3pt;width:644.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" strokecolor="black [3213]" strokeweight="1pt"/>
            </w:pict>
          </mc:Fallback>
        </mc:AlternateContent>
      </w:r>
      <w:r>
        <w:rPr>
          <w:b/>
          <w:noProof/>
          <w:color w:val="433B67"/>
          <w:sz w:val="28"/>
          <w:szCs w:val="28"/>
        </w:rPr>
        <mc:AlternateContent>
          <mc:Choice Requires="wps">
            <w:drawing>
              <wp:anchor distT="0" distB="0" distL="114300" distR="114300" simplePos="0" relativeHeight="251683840" behindDoc="0" locked="0" layoutInCell="1" allowOverlap="1" wp14:anchorId="15E56519" wp14:editId="1C6435EB">
                <wp:simplePos x="0" y="0"/>
                <wp:positionH relativeFrom="column">
                  <wp:posOffset>-1363980</wp:posOffset>
                </wp:positionH>
                <wp:positionV relativeFrom="paragraph">
                  <wp:posOffset>2312670</wp:posOffset>
                </wp:positionV>
                <wp:extent cx="8181975" cy="635"/>
                <wp:effectExtent l="0" t="0" r="9525" b="37465"/>
                <wp:wrapNone/>
                <wp:docPr id="1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81975" cy="635"/>
                        </a:xfrm>
                        <a:prstGeom prst="straightConnector1">
                          <a:avLst/>
                        </a:prstGeom>
                        <a:noFill/>
                        <a:ln w="25400">
                          <a:solidFill>
                            <a:srgbClr val="433B6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107.4pt;margin-top:182.1pt;width:644.25pt;height:.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" strokecolor="#433b67" strokeweight="2pt"/>
            </w:pict>
          </mc:Fallback>
        </mc:AlternateContent>
      </w:r>
      <w:r>
        <w:rPr>
          <w:b/>
          <w:noProof/>
          <w:color w:val="433B67"/>
          <w:sz w:val="28"/>
          <w:szCs w:val="28"/>
        </w:rPr>
        <mc:AlternateContent>
          <mc:Choice Requires="wps">
            <w:drawing>
              <wp:anchor distT="0" distB="0" distL="114300" distR="114300" simplePos="0" relativeHeight="251682816" behindDoc="0" locked="0" layoutInCell="1" allowOverlap="1" wp14:anchorId="4B7536F0" wp14:editId="6AC9625D">
                <wp:simplePos x="0" y="0"/>
                <wp:positionH relativeFrom="column">
                  <wp:posOffset>-90170</wp:posOffset>
                </wp:positionH>
                <wp:positionV relativeFrom="paragraph">
                  <wp:posOffset>2026920</wp:posOffset>
                </wp:positionV>
                <wp:extent cx="1833880" cy="311150"/>
                <wp:effectExtent l="0" t="0" r="0" b="0"/>
                <wp:wrapNone/>
                <wp:docPr id="1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388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5003" w:rsidRPr="003A4BA1" w:rsidRDefault="00F55003" w:rsidP="00CA7949">
                            <w:pPr>
                              <w:pStyle w:val="TitleProposal"/>
                              <w:rPr>
                                <w:rFonts w:ascii="Arial Black" w:hAnsi="Arial Black"/>
                                <w:color w:val="auto"/>
                              </w:rPr>
                            </w:pPr>
                            <w:r w:rsidRPr="003A4BA1">
                              <w:rPr>
                                <w:rFonts w:ascii="Arial Black" w:hAnsi="Arial Black"/>
                                <w:color w:val="auto"/>
                              </w:rPr>
                              <w:t>The FSC Group</w:t>
                            </w:r>
                          </w:p>
                          <w:p w:rsidR="00F55003" w:rsidRPr="000D67D1" w:rsidRDefault="00F55003" w:rsidP="00CA7949">
                            <w:pPr>
                              <w:pStyle w:val="TitleProposal"/>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2" type="#_x0000_t202" style="position:absolute;left:0;text-align:left;margin-left:-7.1pt;margin-top:159.6pt;width:144.4pt;height:2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YKugIAAMI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" filled="f" stroked="f">
                <v:textbox>
                  <w:txbxContent>
                    <w:p w:rsidR="00F55003" w:rsidRPr="003A4BA1" w:rsidRDefault="00F55003" w:rsidP="00CA7949">
                      <w:pPr>
                        <w:pStyle w:val="TitleProposal"/>
                        <w:rPr>
                          <w:rFonts w:ascii="Arial Black" w:hAnsi="Arial Black"/>
                          <w:color w:val="auto"/>
                        </w:rPr>
                      </w:pPr>
                      <w:r w:rsidRPr="003A4BA1">
                        <w:rPr>
                          <w:rFonts w:ascii="Arial Black" w:hAnsi="Arial Black"/>
                          <w:color w:val="auto"/>
                        </w:rPr>
                        <w:t>The FSC Group</w:t>
                      </w:r>
                    </w:p>
                    <w:p w:rsidR="00F55003" w:rsidRPr="000D67D1" w:rsidRDefault="00F55003" w:rsidP="00CA7949">
                      <w:pPr>
                        <w:pStyle w:val="TitleProposal"/>
                      </w:pPr>
                    </w:p>
                  </w:txbxContent>
                </v:textbox>
              </v:shape>
            </w:pict>
          </mc:Fallback>
        </mc:AlternateContent>
      </w:r>
    </w:p>
    <w:sdt>
      <w:sdtPr>
        <w:rPr>
          <w:rFonts w:asciiTheme="minorHAnsi" w:eastAsiaTheme="minorHAnsi" w:hAnsiTheme="minorHAnsi" w:cstheme="minorBidi"/>
          <w:b w:val="0"/>
          <w:color w:val="auto"/>
          <w:sz w:val="22"/>
          <w:szCs w:val="22"/>
        </w:rPr>
        <w:id w:val="1780305"/>
        <w:docPartObj>
          <w:docPartGallery w:val="Table of Contents"/>
          <w:docPartUnique/>
        </w:docPartObj>
      </w:sdtPr>
      <w:sdtEndPr>
        <w:rPr>
          <w:rFonts w:eastAsiaTheme="minorEastAsia"/>
        </w:rPr>
      </w:sdtEndPr>
      <w:sdtContent>
        <w:p w:rsidR="001A71A9" w:rsidRDefault="001A71A9" w:rsidP="00DB35F9">
          <w:pPr>
            <w:pStyle w:val="TableofContents"/>
            <w:ind w:left="0"/>
          </w:pPr>
          <w:r w:rsidRPr="003A4BA1">
            <w:rPr>
              <w:rFonts w:ascii="Arial Black" w:hAnsi="Arial Black"/>
            </w:rPr>
            <w:t>Table of Contents</w:t>
          </w:r>
        </w:p>
        <w:p w:rsidR="008A3FBD" w:rsidRDefault="00A2056A">
          <w:pPr>
            <w:pStyle w:val="TOC1"/>
            <w:rPr>
              <w:rFonts w:asciiTheme="minorHAnsi" w:hAnsiTheme="minorHAnsi" w:cstheme="minorBidi"/>
              <w:sz w:val="22"/>
              <w:szCs w:val="22"/>
            </w:rPr>
          </w:pPr>
          <w:r>
            <w:fldChar w:fldCharType="begin"/>
          </w:r>
          <w:r w:rsidR="006717E3">
            <w:instrText xml:space="preserve"> TOC \o "1-3" \h \z \t "Appendix Heading 1,2,Appendix Heading 2,3,Appendix Heading 3,4" </w:instrText>
          </w:r>
          <w:r>
            <w:fldChar w:fldCharType="separate"/>
          </w:r>
          <w:hyperlink w:anchor="_Toc350519881" w:history="1">
            <w:r w:rsidR="008A3FBD" w:rsidRPr="005D7094">
              <w:rPr>
                <w:rStyle w:val="Hyperlink"/>
              </w:rPr>
              <w:t>1</w:t>
            </w:r>
            <w:r w:rsidR="008A3FBD">
              <w:rPr>
                <w:rFonts w:asciiTheme="minorHAnsi" w:hAnsiTheme="minorHAnsi" w:cstheme="minorBidi"/>
                <w:sz w:val="22"/>
                <w:szCs w:val="22"/>
              </w:rPr>
              <w:tab/>
            </w:r>
            <w:r w:rsidR="008A3FBD" w:rsidRPr="005D7094">
              <w:rPr>
                <w:rStyle w:val="Hyperlink"/>
              </w:rPr>
              <w:t>Executive Summary</w:t>
            </w:r>
            <w:r w:rsidR="008A3FBD">
              <w:rPr>
                <w:webHidden/>
              </w:rPr>
              <w:tab/>
            </w:r>
            <w:r>
              <w:rPr>
                <w:webHidden/>
              </w:rPr>
              <w:fldChar w:fldCharType="begin"/>
            </w:r>
            <w:r w:rsidR="008A3FBD">
              <w:rPr>
                <w:webHidden/>
              </w:rPr>
              <w:instrText xml:space="preserve"> PAGEREF _Toc350519881 \h </w:instrText>
            </w:r>
            <w:r>
              <w:rPr>
                <w:webHidden/>
              </w:rPr>
            </w:r>
            <w:r>
              <w:rPr>
                <w:webHidden/>
              </w:rPr>
              <w:fldChar w:fldCharType="separate"/>
            </w:r>
            <w:r w:rsidR="00F55003">
              <w:rPr>
                <w:webHidden/>
              </w:rPr>
              <w:t>1</w:t>
            </w:r>
            <w:r>
              <w:rPr>
                <w:webHidden/>
              </w:rPr>
              <w:fldChar w:fldCharType="end"/>
            </w:r>
          </w:hyperlink>
        </w:p>
        <w:p w:rsidR="008A3FBD" w:rsidRDefault="00DD79FE">
          <w:pPr>
            <w:pStyle w:val="TOC2"/>
            <w:rPr>
              <w:rFonts w:asciiTheme="minorHAnsi" w:hAnsiTheme="minorHAnsi" w:cstheme="minorBidi"/>
              <w:sz w:val="22"/>
              <w:szCs w:val="22"/>
            </w:rPr>
          </w:pPr>
          <w:hyperlink w:anchor="_Toc350519882" w:history="1">
            <w:r w:rsidR="008A3FBD" w:rsidRPr="005D7094">
              <w:rPr>
                <w:rStyle w:val="Hyperlink"/>
              </w:rPr>
              <w:t>1.1</w:t>
            </w:r>
            <w:r w:rsidR="008A3FBD">
              <w:rPr>
                <w:rFonts w:asciiTheme="minorHAnsi" w:hAnsiTheme="minorHAnsi" w:cstheme="minorBidi"/>
                <w:sz w:val="22"/>
                <w:szCs w:val="22"/>
              </w:rPr>
              <w:tab/>
            </w:r>
            <w:r w:rsidR="008A3FBD" w:rsidRPr="005D7094">
              <w:rPr>
                <w:rStyle w:val="Hyperlink"/>
              </w:rPr>
              <w:t>TOU Ex Ante Impact Estimates</w:t>
            </w:r>
            <w:r w:rsidR="008A3FBD">
              <w:rPr>
                <w:webHidden/>
              </w:rPr>
              <w:tab/>
            </w:r>
            <w:r w:rsidR="00A2056A">
              <w:rPr>
                <w:webHidden/>
              </w:rPr>
              <w:fldChar w:fldCharType="begin"/>
            </w:r>
            <w:r w:rsidR="008A3FBD">
              <w:rPr>
                <w:webHidden/>
              </w:rPr>
              <w:instrText xml:space="preserve"> PAGEREF _Toc350519882 \h </w:instrText>
            </w:r>
            <w:r w:rsidR="00A2056A">
              <w:rPr>
                <w:webHidden/>
              </w:rPr>
            </w:r>
            <w:r w:rsidR="00A2056A">
              <w:rPr>
                <w:webHidden/>
              </w:rPr>
              <w:fldChar w:fldCharType="separate"/>
            </w:r>
            <w:r w:rsidR="00F55003">
              <w:rPr>
                <w:webHidden/>
              </w:rPr>
              <w:t>1</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83" w:history="1">
            <w:r w:rsidR="008A3FBD" w:rsidRPr="005D7094">
              <w:rPr>
                <w:rStyle w:val="Hyperlink"/>
              </w:rPr>
              <w:t>2</w:t>
            </w:r>
            <w:r w:rsidR="008A3FBD">
              <w:rPr>
                <w:rFonts w:asciiTheme="minorHAnsi" w:hAnsiTheme="minorHAnsi" w:cstheme="minorBidi"/>
                <w:sz w:val="22"/>
                <w:szCs w:val="22"/>
              </w:rPr>
              <w:tab/>
            </w:r>
            <w:r w:rsidR="008A3FBD" w:rsidRPr="005D7094">
              <w:rPr>
                <w:rStyle w:val="Hyperlink"/>
              </w:rPr>
              <w:t>Introduction and Purpose of Study</w:t>
            </w:r>
            <w:r w:rsidR="008A3FBD">
              <w:rPr>
                <w:webHidden/>
              </w:rPr>
              <w:tab/>
            </w:r>
            <w:r w:rsidR="00A2056A">
              <w:rPr>
                <w:webHidden/>
              </w:rPr>
              <w:fldChar w:fldCharType="begin"/>
            </w:r>
            <w:r w:rsidR="008A3FBD">
              <w:rPr>
                <w:webHidden/>
              </w:rPr>
              <w:instrText xml:space="preserve"> PAGEREF _Toc350519883 \h </w:instrText>
            </w:r>
            <w:r w:rsidR="00A2056A">
              <w:rPr>
                <w:webHidden/>
              </w:rPr>
            </w:r>
            <w:r w:rsidR="00A2056A">
              <w:rPr>
                <w:webHidden/>
              </w:rPr>
              <w:fldChar w:fldCharType="separate"/>
            </w:r>
            <w:r w:rsidR="00F55003">
              <w:rPr>
                <w:webHidden/>
              </w:rPr>
              <w:t>3</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84" w:history="1">
            <w:r w:rsidR="008A3FBD" w:rsidRPr="005D7094">
              <w:rPr>
                <w:rStyle w:val="Hyperlink"/>
              </w:rPr>
              <w:t>2.1</w:t>
            </w:r>
            <w:r w:rsidR="008A3FBD">
              <w:rPr>
                <w:rFonts w:asciiTheme="minorHAnsi" w:hAnsiTheme="minorHAnsi" w:cstheme="minorBidi"/>
                <w:sz w:val="22"/>
                <w:szCs w:val="22"/>
              </w:rPr>
              <w:tab/>
            </w:r>
            <w:r w:rsidR="008A3FBD" w:rsidRPr="005D7094">
              <w:rPr>
                <w:rStyle w:val="Hyperlink"/>
              </w:rPr>
              <w:t>Challenges in Estimating TOU Price Response</w:t>
            </w:r>
            <w:r w:rsidR="008A3FBD">
              <w:rPr>
                <w:webHidden/>
              </w:rPr>
              <w:tab/>
            </w:r>
            <w:r w:rsidR="00A2056A">
              <w:rPr>
                <w:webHidden/>
              </w:rPr>
              <w:fldChar w:fldCharType="begin"/>
            </w:r>
            <w:r w:rsidR="008A3FBD">
              <w:rPr>
                <w:webHidden/>
              </w:rPr>
              <w:instrText xml:space="preserve"> PAGEREF _Toc350519884 \h </w:instrText>
            </w:r>
            <w:r w:rsidR="00A2056A">
              <w:rPr>
                <w:webHidden/>
              </w:rPr>
            </w:r>
            <w:r w:rsidR="00A2056A">
              <w:rPr>
                <w:webHidden/>
              </w:rPr>
              <w:fldChar w:fldCharType="separate"/>
            </w:r>
            <w:r w:rsidR="00F55003">
              <w:rPr>
                <w:webHidden/>
              </w:rPr>
              <w:t>4</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85" w:history="1">
            <w:r w:rsidR="008A3FBD" w:rsidRPr="005D7094">
              <w:rPr>
                <w:rStyle w:val="Hyperlink"/>
              </w:rPr>
              <w:t>2.2</w:t>
            </w:r>
            <w:r w:rsidR="008A3FBD">
              <w:rPr>
                <w:rFonts w:asciiTheme="minorHAnsi" w:hAnsiTheme="minorHAnsi" w:cstheme="minorBidi"/>
                <w:sz w:val="22"/>
                <w:szCs w:val="22"/>
              </w:rPr>
              <w:tab/>
            </w:r>
            <w:r w:rsidR="008A3FBD" w:rsidRPr="005D7094">
              <w:rPr>
                <w:rStyle w:val="Hyperlink"/>
              </w:rPr>
              <w:t>Structure of Report</w:t>
            </w:r>
            <w:r w:rsidR="008A3FBD">
              <w:rPr>
                <w:webHidden/>
              </w:rPr>
              <w:tab/>
            </w:r>
            <w:r w:rsidR="00A2056A">
              <w:rPr>
                <w:webHidden/>
              </w:rPr>
              <w:fldChar w:fldCharType="begin"/>
            </w:r>
            <w:r w:rsidR="008A3FBD">
              <w:rPr>
                <w:webHidden/>
              </w:rPr>
              <w:instrText xml:space="preserve"> PAGEREF _Toc350519885 \h </w:instrText>
            </w:r>
            <w:r w:rsidR="00A2056A">
              <w:rPr>
                <w:webHidden/>
              </w:rPr>
            </w:r>
            <w:r w:rsidR="00A2056A">
              <w:rPr>
                <w:webHidden/>
              </w:rPr>
              <w:fldChar w:fldCharType="separate"/>
            </w:r>
            <w:r w:rsidR="00F55003">
              <w:rPr>
                <w:webHidden/>
              </w:rPr>
              <w:t>5</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86" w:history="1">
            <w:r w:rsidR="008A3FBD" w:rsidRPr="005D7094">
              <w:rPr>
                <w:rStyle w:val="Hyperlink"/>
              </w:rPr>
              <w:t>3</w:t>
            </w:r>
            <w:r w:rsidR="008A3FBD">
              <w:rPr>
                <w:rFonts w:asciiTheme="minorHAnsi" w:hAnsiTheme="minorHAnsi" w:cstheme="minorBidi"/>
                <w:sz w:val="22"/>
                <w:szCs w:val="22"/>
              </w:rPr>
              <w:tab/>
            </w:r>
            <w:r w:rsidR="008A3FBD" w:rsidRPr="005D7094">
              <w:rPr>
                <w:rStyle w:val="Hyperlink"/>
              </w:rPr>
              <w:t>Description of Rates and Population</w:t>
            </w:r>
            <w:r w:rsidR="008A3FBD">
              <w:rPr>
                <w:webHidden/>
              </w:rPr>
              <w:tab/>
            </w:r>
            <w:r w:rsidR="00A2056A">
              <w:rPr>
                <w:webHidden/>
              </w:rPr>
              <w:fldChar w:fldCharType="begin"/>
            </w:r>
            <w:r w:rsidR="008A3FBD">
              <w:rPr>
                <w:webHidden/>
              </w:rPr>
              <w:instrText xml:space="preserve"> PAGEREF _Toc350519886 \h </w:instrText>
            </w:r>
            <w:r w:rsidR="00A2056A">
              <w:rPr>
                <w:webHidden/>
              </w:rPr>
            </w:r>
            <w:r w:rsidR="00A2056A">
              <w:rPr>
                <w:webHidden/>
              </w:rPr>
              <w:fldChar w:fldCharType="separate"/>
            </w:r>
            <w:r w:rsidR="00F55003">
              <w:rPr>
                <w:webHidden/>
              </w:rPr>
              <w:t>6</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87" w:history="1">
            <w:r w:rsidR="008A3FBD" w:rsidRPr="005D7094">
              <w:rPr>
                <w:rStyle w:val="Hyperlink"/>
              </w:rPr>
              <w:t>4</w:t>
            </w:r>
            <w:r w:rsidR="008A3FBD">
              <w:rPr>
                <w:rFonts w:asciiTheme="minorHAnsi" w:hAnsiTheme="minorHAnsi" w:cstheme="minorBidi"/>
                <w:sz w:val="22"/>
                <w:szCs w:val="22"/>
              </w:rPr>
              <w:tab/>
            </w:r>
            <w:r w:rsidR="008A3FBD" w:rsidRPr="005D7094">
              <w:rPr>
                <w:rStyle w:val="Hyperlink"/>
              </w:rPr>
              <w:t>Ex Ante Load Impacts</w:t>
            </w:r>
            <w:r w:rsidR="008A3FBD">
              <w:rPr>
                <w:webHidden/>
              </w:rPr>
              <w:tab/>
            </w:r>
            <w:r w:rsidR="00A2056A">
              <w:rPr>
                <w:webHidden/>
              </w:rPr>
              <w:fldChar w:fldCharType="begin"/>
            </w:r>
            <w:r w:rsidR="008A3FBD">
              <w:rPr>
                <w:webHidden/>
              </w:rPr>
              <w:instrText xml:space="preserve"> PAGEREF _Toc350519887 \h </w:instrText>
            </w:r>
            <w:r w:rsidR="00A2056A">
              <w:rPr>
                <w:webHidden/>
              </w:rPr>
            </w:r>
            <w:r w:rsidR="00A2056A">
              <w:rPr>
                <w:webHidden/>
              </w:rPr>
              <w:fldChar w:fldCharType="separate"/>
            </w:r>
            <w:r w:rsidR="00F55003">
              <w:rPr>
                <w:webHidden/>
              </w:rPr>
              <w:t>8</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88" w:history="1">
            <w:r w:rsidR="008A3FBD" w:rsidRPr="005D7094">
              <w:rPr>
                <w:rStyle w:val="Hyperlink"/>
              </w:rPr>
              <w:t>4.1</w:t>
            </w:r>
            <w:r w:rsidR="008A3FBD">
              <w:rPr>
                <w:rFonts w:asciiTheme="minorHAnsi" w:hAnsiTheme="minorHAnsi" w:cstheme="minorBidi"/>
                <w:sz w:val="22"/>
                <w:szCs w:val="22"/>
              </w:rPr>
              <w:tab/>
            </w:r>
            <w:r w:rsidR="008A3FBD" w:rsidRPr="005D7094">
              <w:rPr>
                <w:rStyle w:val="Hyperlink"/>
              </w:rPr>
              <w:t>Enrollment Forecasts</w:t>
            </w:r>
            <w:r w:rsidR="008A3FBD">
              <w:rPr>
                <w:webHidden/>
              </w:rPr>
              <w:tab/>
            </w:r>
            <w:r w:rsidR="00A2056A">
              <w:rPr>
                <w:webHidden/>
              </w:rPr>
              <w:fldChar w:fldCharType="begin"/>
            </w:r>
            <w:r w:rsidR="008A3FBD">
              <w:rPr>
                <w:webHidden/>
              </w:rPr>
              <w:instrText xml:space="preserve"> PAGEREF _Toc350519888 \h </w:instrText>
            </w:r>
            <w:r w:rsidR="00A2056A">
              <w:rPr>
                <w:webHidden/>
              </w:rPr>
            </w:r>
            <w:r w:rsidR="00A2056A">
              <w:rPr>
                <w:webHidden/>
              </w:rPr>
              <w:fldChar w:fldCharType="separate"/>
            </w:r>
            <w:r w:rsidR="00F55003">
              <w:rPr>
                <w:webHidden/>
              </w:rPr>
              <w:t>9</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89" w:history="1">
            <w:r w:rsidR="008A3FBD" w:rsidRPr="005D7094">
              <w:rPr>
                <w:rStyle w:val="Hyperlink"/>
              </w:rPr>
              <w:t>4.2</w:t>
            </w:r>
            <w:r w:rsidR="008A3FBD">
              <w:rPr>
                <w:rFonts w:asciiTheme="minorHAnsi" w:hAnsiTheme="minorHAnsi" w:cstheme="minorBidi"/>
                <w:sz w:val="22"/>
                <w:szCs w:val="22"/>
              </w:rPr>
              <w:tab/>
            </w:r>
            <w:r w:rsidR="008A3FBD" w:rsidRPr="005D7094">
              <w:rPr>
                <w:rStyle w:val="Hyperlink"/>
              </w:rPr>
              <w:t>Methodology</w:t>
            </w:r>
            <w:r w:rsidR="008A3FBD">
              <w:rPr>
                <w:webHidden/>
              </w:rPr>
              <w:tab/>
            </w:r>
            <w:r w:rsidR="00A2056A">
              <w:rPr>
                <w:webHidden/>
              </w:rPr>
              <w:fldChar w:fldCharType="begin"/>
            </w:r>
            <w:r w:rsidR="008A3FBD">
              <w:rPr>
                <w:webHidden/>
              </w:rPr>
              <w:instrText xml:space="preserve"> PAGEREF _Toc350519889 \h </w:instrText>
            </w:r>
            <w:r w:rsidR="00A2056A">
              <w:rPr>
                <w:webHidden/>
              </w:rPr>
            </w:r>
            <w:r w:rsidR="00A2056A">
              <w:rPr>
                <w:webHidden/>
              </w:rPr>
              <w:fldChar w:fldCharType="separate"/>
            </w:r>
            <w:r w:rsidR="00F55003">
              <w:rPr>
                <w:webHidden/>
              </w:rPr>
              <w:t>10</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90" w:history="1">
            <w:r w:rsidR="008A3FBD" w:rsidRPr="005D7094">
              <w:rPr>
                <w:rStyle w:val="Hyperlink"/>
              </w:rPr>
              <w:t>4.3</w:t>
            </w:r>
            <w:r w:rsidR="008A3FBD">
              <w:rPr>
                <w:rFonts w:asciiTheme="minorHAnsi" w:hAnsiTheme="minorHAnsi" w:cstheme="minorBidi"/>
                <w:sz w:val="22"/>
                <w:szCs w:val="22"/>
              </w:rPr>
              <w:tab/>
            </w:r>
            <w:r w:rsidR="008A3FBD" w:rsidRPr="005D7094">
              <w:rPr>
                <w:rStyle w:val="Hyperlink"/>
              </w:rPr>
              <w:t>Results</w:t>
            </w:r>
            <w:r w:rsidR="008A3FBD">
              <w:rPr>
                <w:webHidden/>
              </w:rPr>
              <w:tab/>
            </w:r>
            <w:r w:rsidR="00A2056A">
              <w:rPr>
                <w:webHidden/>
              </w:rPr>
              <w:fldChar w:fldCharType="begin"/>
            </w:r>
            <w:r w:rsidR="008A3FBD">
              <w:rPr>
                <w:webHidden/>
              </w:rPr>
              <w:instrText xml:space="preserve"> PAGEREF _Toc350519890 \h </w:instrText>
            </w:r>
            <w:r w:rsidR="00A2056A">
              <w:rPr>
                <w:webHidden/>
              </w:rPr>
            </w:r>
            <w:r w:rsidR="00A2056A">
              <w:rPr>
                <w:webHidden/>
              </w:rPr>
              <w:fldChar w:fldCharType="separate"/>
            </w:r>
            <w:r w:rsidR="00F55003">
              <w:rPr>
                <w:webHidden/>
              </w:rPr>
              <w:t>11</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91" w:history="1">
            <w:r w:rsidR="008A3FBD" w:rsidRPr="005D7094">
              <w:rPr>
                <w:rStyle w:val="Hyperlink"/>
              </w:rPr>
              <w:t>4.4</w:t>
            </w:r>
            <w:r w:rsidR="008A3FBD">
              <w:rPr>
                <w:rFonts w:asciiTheme="minorHAnsi" w:hAnsiTheme="minorHAnsi" w:cstheme="minorBidi"/>
                <w:sz w:val="22"/>
                <w:szCs w:val="22"/>
              </w:rPr>
              <w:tab/>
            </w:r>
            <w:r w:rsidR="008A3FBD" w:rsidRPr="005D7094">
              <w:rPr>
                <w:rStyle w:val="Hyperlink"/>
              </w:rPr>
              <w:t>Sensitivity Analysis</w:t>
            </w:r>
            <w:r w:rsidR="008A3FBD">
              <w:rPr>
                <w:webHidden/>
              </w:rPr>
              <w:tab/>
            </w:r>
            <w:r w:rsidR="00A2056A">
              <w:rPr>
                <w:webHidden/>
              </w:rPr>
              <w:fldChar w:fldCharType="begin"/>
            </w:r>
            <w:r w:rsidR="008A3FBD">
              <w:rPr>
                <w:webHidden/>
              </w:rPr>
              <w:instrText xml:space="preserve"> PAGEREF _Toc350519891 \h </w:instrText>
            </w:r>
            <w:r w:rsidR="00A2056A">
              <w:rPr>
                <w:webHidden/>
              </w:rPr>
            </w:r>
            <w:r w:rsidR="00A2056A">
              <w:rPr>
                <w:webHidden/>
              </w:rPr>
              <w:fldChar w:fldCharType="separate"/>
            </w:r>
            <w:r w:rsidR="00F55003">
              <w:rPr>
                <w:webHidden/>
              </w:rPr>
              <w:t>12</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92" w:history="1">
            <w:r w:rsidR="008A3FBD" w:rsidRPr="005D7094">
              <w:rPr>
                <w:rStyle w:val="Hyperlink"/>
              </w:rPr>
              <w:t>4.5</w:t>
            </w:r>
            <w:r w:rsidR="008A3FBD">
              <w:rPr>
                <w:rFonts w:asciiTheme="minorHAnsi" w:hAnsiTheme="minorHAnsi" w:cstheme="minorBidi"/>
                <w:sz w:val="22"/>
                <w:szCs w:val="22"/>
              </w:rPr>
              <w:tab/>
            </w:r>
            <w:r w:rsidR="008A3FBD" w:rsidRPr="005D7094">
              <w:rPr>
                <w:rStyle w:val="Hyperlink"/>
              </w:rPr>
              <w:t>Comparison with 2011 Ex Ante Estimates</w:t>
            </w:r>
            <w:r w:rsidR="008A3FBD">
              <w:rPr>
                <w:webHidden/>
              </w:rPr>
              <w:tab/>
            </w:r>
            <w:r w:rsidR="00A2056A">
              <w:rPr>
                <w:webHidden/>
              </w:rPr>
              <w:fldChar w:fldCharType="begin"/>
            </w:r>
            <w:r w:rsidR="008A3FBD">
              <w:rPr>
                <w:webHidden/>
              </w:rPr>
              <w:instrText xml:space="preserve"> PAGEREF _Toc350519892 \h </w:instrText>
            </w:r>
            <w:r w:rsidR="00A2056A">
              <w:rPr>
                <w:webHidden/>
              </w:rPr>
            </w:r>
            <w:r w:rsidR="00A2056A">
              <w:rPr>
                <w:webHidden/>
              </w:rPr>
              <w:fldChar w:fldCharType="separate"/>
            </w:r>
            <w:r w:rsidR="00F55003">
              <w:rPr>
                <w:webHidden/>
              </w:rPr>
              <w:t>13</w:t>
            </w:r>
            <w:r w:rsidR="00A2056A">
              <w:rPr>
                <w:webHidden/>
              </w:rPr>
              <w:fldChar w:fldCharType="end"/>
            </w:r>
          </w:hyperlink>
        </w:p>
        <w:p w:rsidR="008A3FBD" w:rsidRDefault="00DD79FE">
          <w:pPr>
            <w:pStyle w:val="TOC2"/>
            <w:rPr>
              <w:rFonts w:asciiTheme="minorHAnsi" w:hAnsiTheme="minorHAnsi" w:cstheme="minorBidi"/>
              <w:sz w:val="22"/>
              <w:szCs w:val="22"/>
            </w:rPr>
          </w:pPr>
          <w:hyperlink w:anchor="_Toc350519893" w:history="1">
            <w:r w:rsidR="008A3FBD" w:rsidRPr="005D7094">
              <w:rPr>
                <w:rStyle w:val="Hyperlink"/>
              </w:rPr>
              <w:t>4.6</w:t>
            </w:r>
            <w:r w:rsidR="008A3FBD">
              <w:rPr>
                <w:rFonts w:asciiTheme="minorHAnsi" w:hAnsiTheme="minorHAnsi" w:cstheme="minorBidi"/>
                <w:sz w:val="22"/>
                <w:szCs w:val="22"/>
              </w:rPr>
              <w:tab/>
            </w:r>
            <w:r w:rsidR="008A3FBD" w:rsidRPr="005D7094">
              <w:rPr>
                <w:rStyle w:val="Hyperlink"/>
              </w:rPr>
              <w:t>Conclusions</w:t>
            </w:r>
            <w:r w:rsidR="008A3FBD">
              <w:rPr>
                <w:webHidden/>
              </w:rPr>
              <w:tab/>
            </w:r>
            <w:r w:rsidR="00A2056A">
              <w:rPr>
                <w:webHidden/>
              </w:rPr>
              <w:fldChar w:fldCharType="begin"/>
            </w:r>
            <w:r w:rsidR="008A3FBD">
              <w:rPr>
                <w:webHidden/>
              </w:rPr>
              <w:instrText xml:space="preserve"> PAGEREF _Toc350519893 \h </w:instrText>
            </w:r>
            <w:r w:rsidR="00A2056A">
              <w:rPr>
                <w:webHidden/>
              </w:rPr>
            </w:r>
            <w:r w:rsidR="00A2056A">
              <w:rPr>
                <w:webHidden/>
              </w:rPr>
              <w:fldChar w:fldCharType="separate"/>
            </w:r>
            <w:r w:rsidR="00F55003">
              <w:rPr>
                <w:webHidden/>
              </w:rPr>
              <w:t>14</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94" w:history="1">
            <w:r w:rsidR="008A3FBD" w:rsidRPr="005D7094">
              <w:rPr>
                <w:rStyle w:val="Hyperlink"/>
                <w:snapToGrid w:val="0"/>
                <w:w w:val="0"/>
              </w:rPr>
              <w:t>Appendix A</w:t>
            </w:r>
            <w:r w:rsidR="008A3FBD">
              <w:rPr>
                <w:rFonts w:asciiTheme="minorHAnsi" w:hAnsiTheme="minorHAnsi" w:cstheme="minorBidi"/>
                <w:sz w:val="22"/>
                <w:szCs w:val="22"/>
              </w:rPr>
              <w:tab/>
            </w:r>
            <w:r w:rsidR="008A3FBD" w:rsidRPr="005D7094">
              <w:rPr>
                <w:rStyle w:val="Hyperlink"/>
              </w:rPr>
              <w:t>Empirical Evidence of Small and Medium Non-residential Price Response</w:t>
            </w:r>
            <w:r w:rsidR="008A3FBD">
              <w:rPr>
                <w:rStyle w:val="Hyperlink"/>
              </w:rPr>
              <w:br/>
            </w:r>
            <w:r w:rsidR="008A3FBD">
              <w:rPr>
                <w:rStyle w:val="Hyperlink"/>
              </w:rPr>
              <w:tab/>
            </w:r>
            <w:r w:rsidR="008A3FBD">
              <w:rPr>
                <w:rStyle w:val="Hyperlink"/>
              </w:rPr>
              <w:tab/>
            </w:r>
            <w:r w:rsidR="008A3FBD" w:rsidRPr="005D7094">
              <w:rPr>
                <w:rStyle w:val="Hyperlink"/>
              </w:rPr>
              <w:t>to Mandatory TOU</w:t>
            </w:r>
            <w:r w:rsidR="008A3FBD">
              <w:rPr>
                <w:webHidden/>
              </w:rPr>
              <w:tab/>
            </w:r>
            <w:r w:rsidR="00A2056A">
              <w:rPr>
                <w:webHidden/>
              </w:rPr>
              <w:fldChar w:fldCharType="begin"/>
            </w:r>
            <w:r w:rsidR="008A3FBD">
              <w:rPr>
                <w:webHidden/>
              </w:rPr>
              <w:instrText xml:space="preserve"> PAGEREF _Toc350519894 \h </w:instrText>
            </w:r>
            <w:r w:rsidR="00A2056A">
              <w:rPr>
                <w:webHidden/>
              </w:rPr>
            </w:r>
            <w:r w:rsidR="00A2056A">
              <w:rPr>
                <w:webHidden/>
              </w:rPr>
              <w:fldChar w:fldCharType="separate"/>
            </w:r>
            <w:r w:rsidR="00F55003">
              <w:rPr>
                <w:webHidden/>
              </w:rPr>
              <w:t>15</w:t>
            </w:r>
            <w:r w:rsidR="00A2056A">
              <w:rPr>
                <w:webHidden/>
              </w:rPr>
              <w:fldChar w:fldCharType="end"/>
            </w:r>
          </w:hyperlink>
        </w:p>
        <w:p w:rsidR="008A3FBD" w:rsidRDefault="00DD79FE">
          <w:pPr>
            <w:pStyle w:val="TOC3"/>
            <w:rPr>
              <w:rFonts w:asciiTheme="minorHAnsi" w:hAnsiTheme="minorHAnsi" w:cstheme="minorBidi"/>
              <w:sz w:val="22"/>
              <w:szCs w:val="22"/>
            </w:rPr>
          </w:pPr>
          <w:hyperlink w:anchor="_Toc350519895" w:history="1">
            <w:r w:rsidR="008A3FBD" w:rsidRPr="005D7094">
              <w:rPr>
                <w:rStyle w:val="Hyperlink"/>
                <w:snapToGrid w:val="0"/>
                <w:w w:val="0"/>
              </w:rPr>
              <w:t>A.1</w:t>
            </w:r>
            <w:r w:rsidR="008A3FBD">
              <w:rPr>
                <w:rFonts w:asciiTheme="minorHAnsi" w:hAnsiTheme="minorHAnsi" w:cstheme="minorBidi"/>
                <w:sz w:val="22"/>
                <w:szCs w:val="22"/>
              </w:rPr>
              <w:tab/>
            </w:r>
            <w:r w:rsidR="008A3FBD" w:rsidRPr="005D7094">
              <w:rPr>
                <w:rStyle w:val="Hyperlink"/>
              </w:rPr>
              <w:t xml:space="preserve">Prior Studies of Price Response Among Small and Medium </w:t>
            </w:r>
            <w:r w:rsidR="008A3FBD">
              <w:rPr>
                <w:rStyle w:val="Hyperlink"/>
              </w:rPr>
              <w:br/>
            </w:r>
            <w:r w:rsidR="008A3FBD">
              <w:rPr>
                <w:rStyle w:val="Hyperlink"/>
              </w:rPr>
              <w:tab/>
            </w:r>
            <w:r w:rsidR="008A3FBD" w:rsidRPr="005D7094">
              <w:rPr>
                <w:rStyle w:val="Hyperlink"/>
              </w:rPr>
              <w:t>Non-residential Customers</w:t>
            </w:r>
            <w:r w:rsidR="008A3FBD">
              <w:rPr>
                <w:webHidden/>
              </w:rPr>
              <w:tab/>
            </w:r>
            <w:r w:rsidR="00A2056A">
              <w:rPr>
                <w:webHidden/>
              </w:rPr>
              <w:fldChar w:fldCharType="begin"/>
            </w:r>
            <w:r w:rsidR="008A3FBD">
              <w:rPr>
                <w:webHidden/>
              </w:rPr>
              <w:instrText xml:space="preserve"> PAGEREF _Toc350519895 \h </w:instrText>
            </w:r>
            <w:r w:rsidR="00A2056A">
              <w:rPr>
                <w:webHidden/>
              </w:rPr>
            </w:r>
            <w:r w:rsidR="00A2056A">
              <w:rPr>
                <w:webHidden/>
              </w:rPr>
              <w:fldChar w:fldCharType="separate"/>
            </w:r>
            <w:r w:rsidR="00F55003">
              <w:rPr>
                <w:webHidden/>
              </w:rPr>
              <w:t>16</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96" w:history="1">
            <w:r w:rsidR="008A3FBD" w:rsidRPr="005D7094">
              <w:rPr>
                <w:rStyle w:val="Hyperlink"/>
                <w:snapToGrid w:val="0"/>
                <w:w w:val="0"/>
              </w:rPr>
              <w:t>Appendix B</w:t>
            </w:r>
            <w:r w:rsidR="008A3FBD">
              <w:rPr>
                <w:rFonts w:asciiTheme="minorHAnsi" w:hAnsiTheme="minorHAnsi" w:cstheme="minorBidi"/>
                <w:sz w:val="22"/>
                <w:szCs w:val="22"/>
              </w:rPr>
              <w:tab/>
            </w:r>
            <w:r w:rsidR="008A3FBD" w:rsidRPr="005D7094">
              <w:rPr>
                <w:rStyle w:val="Hyperlink"/>
              </w:rPr>
              <w:t>PG&amp;E’s Existing TOU Rates</w:t>
            </w:r>
            <w:r w:rsidR="008A3FBD">
              <w:rPr>
                <w:webHidden/>
              </w:rPr>
              <w:tab/>
            </w:r>
            <w:r w:rsidR="00A2056A">
              <w:rPr>
                <w:webHidden/>
              </w:rPr>
              <w:fldChar w:fldCharType="begin"/>
            </w:r>
            <w:r w:rsidR="008A3FBD">
              <w:rPr>
                <w:webHidden/>
              </w:rPr>
              <w:instrText xml:space="preserve"> PAGEREF _Toc350519896 \h </w:instrText>
            </w:r>
            <w:r w:rsidR="00A2056A">
              <w:rPr>
                <w:webHidden/>
              </w:rPr>
            </w:r>
            <w:r w:rsidR="00A2056A">
              <w:rPr>
                <w:webHidden/>
              </w:rPr>
              <w:fldChar w:fldCharType="separate"/>
            </w:r>
            <w:r w:rsidR="00F55003">
              <w:rPr>
                <w:webHidden/>
              </w:rPr>
              <w:t>21</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97" w:history="1">
            <w:r w:rsidR="008A3FBD" w:rsidRPr="005D7094">
              <w:rPr>
                <w:rStyle w:val="Hyperlink"/>
                <w:snapToGrid w:val="0"/>
                <w:w w:val="0"/>
              </w:rPr>
              <w:t>Appendix C</w:t>
            </w:r>
            <w:r w:rsidR="008A3FBD">
              <w:rPr>
                <w:rFonts w:asciiTheme="minorHAnsi" w:hAnsiTheme="minorHAnsi" w:cstheme="minorBidi"/>
                <w:sz w:val="22"/>
                <w:szCs w:val="22"/>
              </w:rPr>
              <w:tab/>
            </w:r>
            <w:r w:rsidR="008A3FBD" w:rsidRPr="005D7094">
              <w:rPr>
                <w:rStyle w:val="Hyperlink"/>
              </w:rPr>
              <w:t xml:space="preserve">Process to Standardize Load Shapes for 1-in-2 and 1-in-10 </w:t>
            </w:r>
            <w:r w:rsidR="008A3FBD">
              <w:rPr>
                <w:rStyle w:val="Hyperlink"/>
              </w:rPr>
              <w:br/>
            </w:r>
            <w:r w:rsidR="008A3FBD">
              <w:rPr>
                <w:rStyle w:val="Hyperlink"/>
              </w:rPr>
              <w:tab/>
            </w:r>
            <w:r w:rsidR="008A3FBD">
              <w:rPr>
                <w:rStyle w:val="Hyperlink"/>
              </w:rPr>
              <w:tab/>
            </w:r>
            <w:r w:rsidR="008A3FBD" w:rsidRPr="005D7094">
              <w:rPr>
                <w:rStyle w:val="Hyperlink"/>
              </w:rPr>
              <w:t>Weather Conditions</w:t>
            </w:r>
            <w:r w:rsidR="008A3FBD">
              <w:rPr>
                <w:webHidden/>
              </w:rPr>
              <w:tab/>
            </w:r>
            <w:r w:rsidR="00A2056A">
              <w:rPr>
                <w:webHidden/>
              </w:rPr>
              <w:fldChar w:fldCharType="begin"/>
            </w:r>
            <w:r w:rsidR="008A3FBD">
              <w:rPr>
                <w:webHidden/>
              </w:rPr>
              <w:instrText xml:space="preserve"> PAGEREF _Toc350519897 \h </w:instrText>
            </w:r>
            <w:r w:rsidR="00A2056A">
              <w:rPr>
                <w:webHidden/>
              </w:rPr>
            </w:r>
            <w:r w:rsidR="00A2056A">
              <w:rPr>
                <w:webHidden/>
              </w:rPr>
              <w:fldChar w:fldCharType="separate"/>
            </w:r>
            <w:r w:rsidR="00F55003">
              <w:rPr>
                <w:webHidden/>
              </w:rPr>
              <w:t>23</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98" w:history="1">
            <w:r w:rsidR="008A3FBD" w:rsidRPr="005D7094">
              <w:rPr>
                <w:rStyle w:val="Hyperlink"/>
                <w:snapToGrid w:val="0"/>
                <w:w w:val="0"/>
              </w:rPr>
              <w:t>Appendix D</w:t>
            </w:r>
            <w:r w:rsidR="008A3FBD">
              <w:rPr>
                <w:rFonts w:asciiTheme="minorHAnsi" w:hAnsiTheme="minorHAnsi" w:cstheme="minorBidi"/>
                <w:sz w:val="22"/>
                <w:szCs w:val="22"/>
              </w:rPr>
              <w:tab/>
            </w:r>
            <w:r w:rsidR="008A3FBD" w:rsidRPr="005D7094">
              <w:rPr>
                <w:rStyle w:val="Hyperlink"/>
              </w:rPr>
              <w:t>Effective kWh Prices by Rate and Rate Period</w:t>
            </w:r>
            <w:r w:rsidR="008A3FBD">
              <w:rPr>
                <w:webHidden/>
              </w:rPr>
              <w:tab/>
            </w:r>
            <w:r w:rsidR="00A2056A">
              <w:rPr>
                <w:webHidden/>
              </w:rPr>
              <w:fldChar w:fldCharType="begin"/>
            </w:r>
            <w:r w:rsidR="008A3FBD">
              <w:rPr>
                <w:webHidden/>
              </w:rPr>
              <w:instrText xml:space="preserve"> PAGEREF _Toc350519898 \h </w:instrText>
            </w:r>
            <w:r w:rsidR="00A2056A">
              <w:rPr>
                <w:webHidden/>
              </w:rPr>
            </w:r>
            <w:r w:rsidR="00A2056A">
              <w:rPr>
                <w:webHidden/>
              </w:rPr>
              <w:fldChar w:fldCharType="separate"/>
            </w:r>
            <w:r w:rsidR="00F55003">
              <w:rPr>
                <w:webHidden/>
              </w:rPr>
              <w:t>24</w:t>
            </w:r>
            <w:r w:rsidR="00A2056A">
              <w:rPr>
                <w:webHidden/>
              </w:rPr>
              <w:fldChar w:fldCharType="end"/>
            </w:r>
          </w:hyperlink>
        </w:p>
        <w:p w:rsidR="008A3FBD" w:rsidRDefault="00DD79FE">
          <w:pPr>
            <w:pStyle w:val="TOC1"/>
            <w:rPr>
              <w:rFonts w:asciiTheme="minorHAnsi" w:hAnsiTheme="minorHAnsi" w:cstheme="minorBidi"/>
              <w:sz w:val="22"/>
              <w:szCs w:val="22"/>
            </w:rPr>
          </w:pPr>
          <w:hyperlink w:anchor="_Toc350519899" w:history="1">
            <w:r w:rsidR="008A3FBD" w:rsidRPr="005D7094">
              <w:rPr>
                <w:rStyle w:val="Hyperlink"/>
                <w:snapToGrid w:val="0"/>
                <w:w w:val="0"/>
              </w:rPr>
              <w:t>Appendix E</w:t>
            </w:r>
            <w:r w:rsidR="008A3FBD">
              <w:rPr>
                <w:rFonts w:asciiTheme="minorHAnsi" w:hAnsiTheme="minorHAnsi" w:cstheme="minorBidi"/>
                <w:sz w:val="22"/>
                <w:szCs w:val="22"/>
              </w:rPr>
              <w:tab/>
            </w:r>
            <w:r w:rsidR="008A3FBD" w:rsidRPr="005D7094">
              <w:rPr>
                <w:rStyle w:val="Hyperlink"/>
              </w:rPr>
              <w:t>Application of Price Elasticities</w:t>
            </w:r>
            <w:r w:rsidR="008A3FBD">
              <w:rPr>
                <w:webHidden/>
              </w:rPr>
              <w:tab/>
            </w:r>
            <w:r w:rsidR="00A2056A">
              <w:rPr>
                <w:webHidden/>
              </w:rPr>
              <w:fldChar w:fldCharType="begin"/>
            </w:r>
            <w:r w:rsidR="008A3FBD">
              <w:rPr>
                <w:webHidden/>
              </w:rPr>
              <w:instrText xml:space="preserve"> PAGEREF _Toc350519899 \h </w:instrText>
            </w:r>
            <w:r w:rsidR="00A2056A">
              <w:rPr>
                <w:webHidden/>
              </w:rPr>
            </w:r>
            <w:r w:rsidR="00A2056A">
              <w:rPr>
                <w:webHidden/>
              </w:rPr>
              <w:fldChar w:fldCharType="separate"/>
            </w:r>
            <w:r w:rsidR="00F55003">
              <w:rPr>
                <w:webHidden/>
              </w:rPr>
              <w:t>25</w:t>
            </w:r>
            <w:r w:rsidR="00A2056A">
              <w:rPr>
                <w:webHidden/>
              </w:rPr>
              <w:fldChar w:fldCharType="end"/>
            </w:r>
          </w:hyperlink>
        </w:p>
        <w:p w:rsidR="001A71A9" w:rsidRDefault="00A2056A">
          <w:r>
            <w:rPr>
              <w:rFonts w:ascii="Arial" w:hAnsi="Arial" w:cs="Arial"/>
              <w:noProof/>
              <w:sz w:val="24"/>
              <w:szCs w:val="24"/>
            </w:rPr>
            <w:fldChar w:fldCharType="end"/>
          </w:r>
        </w:p>
      </w:sdtContent>
    </w:sdt>
    <w:p w:rsidR="00DB35F9" w:rsidRPr="00ED253C" w:rsidRDefault="00DB35F9" w:rsidP="00305437">
      <w:pPr>
        <w:pStyle w:val="PreparedForCompany"/>
      </w:pPr>
      <w:bookmarkStart w:id="0" w:name="_Toc268073344"/>
    </w:p>
    <w:p w:rsidR="00DB35F9" w:rsidRDefault="00DB35F9" w:rsidP="00DB35F9">
      <w:pPr>
        <w:spacing w:before="240"/>
        <w:rPr>
          <w:b/>
          <w:color w:val="433B67"/>
          <w:sz w:val="28"/>
          <w:szCs w:val="28"/>
        </w:rPr>
        <w:sectPr w:rsidR="00DB35F9" w:rsidSect="00B50663">
          <w:headerReference w:type="default" r:id="rId18"/>
          <w:footerReference w:type="default" r:id="rId19"/>
          <w:headerReference w:type="first" r:id="rId20"/>
          <w:footerReference w:type="first" r:id="rId21"/>
          <w:pgSz w:w="12240" w:h="15840"/>
          <w:pgMar w:top="1440" w:right="1800" w:bottom="1440" w:left="1800" w:header="720" w:footer="720" w:gutter="0"/>
          <w:pgNumType w:fmt="lowerRoman" w:start="1"/>
          <w:cols w:space="720"/>
          <w:docGrid w:linePitch="360"/>
        </w:sectPr>
      </w:pPr>
    </w:p>
    <w:p w:rsidR="00265FED" w:rsidRDefault="00265FED" w:rsidP="00182842">
      <w:pPr>
        <w:pStyle w:val="Heading1"/>
      </w:pPr>
      <w:bookmarkStart w:id="1" w:name="_Toc348688751"/>
      <w:bookmarkStart w:id="2" w:name="_Toc350519881"/>
      <w:bookmarkEnd w:id="0"/>
      <w:r w:rsidRPr="00182842">
        <w:lastRenderedPageBreak/>
        <w:t>Executive</w:t>
      </w:r>
      <w:r>
        <w:t xml:space="preserve"> Summary</w:t>
      </w:r>
      <w:bookmarkEnd w:id="1"/>
      <w:bookmarkEnd w:id="2"/>
    </w:p>
    <w:p w:rsidR="00265FED" w:rsidRDefault="00265FED" w:rsidP="00265FED">
      <w:pPr>
        <w:pStyle w:val="BodyParagraph"/>
      </w:pPr>
      <w:bookmarkStart w:id="3" w:name="_Toc321408471"/>
      <w:r>
        <w:t>The main objective of this study is to develop projections of the incremental load impacts from Pacific</w:t>
      </w:r>
      <w:r w:rsidR="006E094F">
        <w:t> </w:t>
      </w:r>
      <w:r>
        <w:t>Gas and Electric’s (PG&amp;E) implementation of mandatory time of use (TOU) rates for small and</w:t>
      </w:r>
      <w:r w:rsidR="006E094F">
        <w:t> </w:t>
      </w:r>
      <w:r>
        <w:t>medium</w:t>
      </w:r>
      <w:r>
        <w:rPr>
          <w:rStyle w:val="FootnoteReference"/>
        </w:rPr>
        <w:footnoteReference w:id="2"/>
      </w:r>
      <w:r>
        <w:t xml:space="preserve"> non-residential customers.</w:t>
      </w:r>
      <w:r>
        <w:rPr>
          <w:rStyle w:val="FootnoteReference"/>
        </w:rPr>
        <w:footnoteReference w:id="3"/>
      </w:r>
      <w:r>
        <w:t xml:space="preserve">  </w:t>
      </w:r>
      <w:r w:rsidRPr="001E346D">
        <w:t>PG&amp;E is in the process of transitioning nearly 500,000 commercial, industrial and agricultural customers from flat pricing structures to time-varying pricing and will be for the next few years.</w:t>
      </w:r>
      <w:r>
        <w:t xml:space="preserve">  </w:t>
      </w:r>
    </w:p>
    <w:p w:rsidR="00265FED" w:rsidRDefault="00265FED" w:rsidP="00265FED">
      <w:pPr>
        <w:pStyle w:val="BodyParagraph"/>
      </w:pPr>
      <w:r>
        <w:t xml:space="preserve">While the ex ante impacts factor in the prior empirical evidence on TOU price response, there is substantial uncertainty concerning the magnitude of those impacts.  </w:t>
      </w:r>
      <w:r>
        <w:rPr>
          <w:rFonts w:cs="Arial"/>
          <w:szCs w:val="20"/>
        </w:rPr>
        <w:t xml:space="preserve">The uncertainty stems mainly from the fact that there is little precedent for mandatory placement of small and medium non-residential customers on TOU rates similar to those that are </w:t>
      </w:r>
      <w:r w:rsidR="00227E21">
        <w:rPr>
          <w:rFonts w:cs="Arial"/>
          <w:szCs w:val="20"/>
        </w:rPr>
        <w:t>being</w:t>
      </w:r>
      <w:r>
        <w:rPr>
          <w:rFonts w:cs="Arial"/>
          <w:szCs w:val="20"/>
        </w:rPr>
        <w:t xml:space="preserve"> implemented by PG&amp;E.  Mandatory TOU rates for small customers have been tested in pilots (mostly in the 1980s), but have not been implemented on a utility-wide scale.  </w:t>
      </w:r>
      <w:r>
        <w:t>The remainder of the executive summary presents ex ante forecasts that incorporate</w:t>
      </w:r>
      <w:r w:rsidR="00227E21">
        <w:t xml:space="preserve"> current and</w:t>
      </w:r>
      <w:r>
        <w:t xml:space="preserve"> future customer transitions to mandatory TOU rates</w:t>
      </w:r>
      <w:r w:rsidRPr="001B6971">
        <w:t>.</w:t>
      </w:r>
      <w:r>
        <w:t xml:space="preserve">  </w:t>
      </w:r>
    </w:p>
    <w:p w:rsidR="00265FED" w:rsidRPr="004B4939" w:rsidRDefault="00265FED" w:rsidP="00182842">
      <w:pPr>
        <w:pStyle w:val="Heading2"/>
      </w:pPr>
      <w:bookmarkStart w:id="4" w:name="_Toc348688752"/>
      <w:bookmarkStart w:id="5" w:name="_Toc350519882"/>
      <w:r w:rsidRPr="004B4939">
        <w:t xml:space="preserve">TOU </w:t>
      </w:r>
      <w:r>
        <w:t xml:space="preserve">Ex </w:t>
      </w:r>
      <w:r w:rsidR="006E094F">
        <w:t>A</w:t>
      </w:r>
      <w:r>
        <w:t xml:space="preserve">nte </w:t>
      </w:r>
      <w:r w:rsidRPr="004B4939">
        <w:t>Impact Estimates</w:t>
      </w:r>
      <w:bookmarkEnd w:id="4"/>
      <w:bookmarkEnd w:id="5"/>
    </w:p>
    <w:p w:rsidR="00265FED" w:rsidRPr="004B4939" w:rsidRDefault="00265FED" w:rsidP="00265FED">
      <w:pPr>
        <w:pStyle w:val="BodyParagraph"/>
      </w:pPr>
      <w:r w:rsidRPr="004B4939">
        <w:t>The existing literature on small and medium non-residential customer price response and the analysis of PG&amp;E’s existing TOU rates was used to inform the ex ante impact estimates for the mandatory TOU rates.  TOU rates present a unique set of conditions.  Because TOU rates are in effect every day, the demand reductions for customers that have been on TOU rates for many years are already embedded into forecasts of system peak load that drive system planning.  As a result, it is necessary to distinguish between embedded impacts from customers already on TOU rates</w:t>
      </w:r>
      <w:r w:rsidR="006E094F">
        <w:t> </w:t>
      </w:r>
      <w:r w:rsidRPr="004B4939">
        <w:t>and incremental impacts</w:t>
      </w:r>
      <w:r w:rsidR="00182842">
        <w:t> </w:t>
      </w:r>
      <w:r w:rsidRPr="004B4939">
        <w:t xml:space="preserve">from customers scheduled to transition to mandatory TOU rates.  </w:t>
      </w:r>
    </w:p>
    <w:p w:rsidR="00265FED" w:rsidRDefault="00265FED" w:rsidP="00265FED">
      <w:pPr>
        <w:pStyle w:val="BodyParagraph"/>
      </w:pPr>
      <w:r w:rsidRPr="004B4939">
        <w:t xml:space="preserve">The aggregate incremental load impacts for small and medium non-residential customers are predicted to be modest, by virtue of the TOU rate design.  </w:t>
      </w:r>
      <w:r w:rsidRPr="00BF4C51">
        <w:t xml:space="preserve">The total incremental TOU impacts range from </w:t>
      </w:r>
      <w:r w:rsidR="00412B1E">
        <w:t>7</w:t>
      </w:r>
      <w:r w:rsidRPr="00BF4C51">
        <w:t>.</w:t>
      </w:r>
      <w:r w:rsidR="00412B1E">
        <w:t>1</w:t>
      </w:r>
      <w:r w:rsidRPr="00BF4C51">
        <w:t xml:space="preserve"> MW in 2013 to a peak of </w:t>
      </w:r>
      <w:r w:rsidR="00412B1E">
        <w:t>12.0</w:t>
      </w:r>
      <w:r w:rsidRPr="00BF4C51">
        <w:t xml:space="preserve"> MW in 20</w:t>
      </w:r>
      <w:r>
        <w:t xml:space="preserve">23.  </w:t>
      </w:r>
      <w:r w:rsidRPr="00BF4C51">
        <w:t>Embedded impacts are already accounted for in planning and the current system loads, so they are of secondary intere</w:t>
      </w:r>
      <w:r>
        <w:t>st.  They amount to a constant 168.9</w:t>
      </w:r>
      <w:r w:rsidRPr="00BF4C51">
        <w:t xml:space="preserve"> MW for 2013-2023.</w:t>
      </w:r>
    </w:p>
    <w:p w:rsidR="00265FED" w:rsidRDefault="00265FED">
      <w:pPr>
        <w:rPr>
          <w:rFonts w:ascii="Verdana" w:hAnsi="Verdana"/>
          <w:sz w:val="18"/>
        </w:rPr>
      </w:pPr>
      <w:r>
        <w:br w:type="page"/>
      </w:r>
    </w:p>
    <w:p w:rsidR="00265FED" w:rsidRPr="004B4939" w:rsidRDefault="00265FED" w:rsidP="00265FED">
      <w:pPr>
        <w:pStyle w:val="TableFigureCaption"/>
        <w:contextualSpacing/>
      </w:pPr>
      <w:r w:rsidRPr="004B4939">
        <w:lastRenderedPageBreak/>
        <w:t>Table 1</w:t>
      </w:r>
      <w:r w:rsidR="00D3329E">
        <w:t>-</w:t>
      </w:r>
      <w:r w:rsidRPr="004B4939">
        <w:t>1: Aggregate Embedded and Incremental TOU Load Impacts (MW) by Year</w:t>
      </w:r>
    </w:p>
    <w:p w:rsidR="00265FED" w:rsidRDefault="00265FED" w:rsidP="00265FED">
      <w:pPr>
        <w:pStyle w:val="TableFigureCaption"/>
        <w:contextualSpacing/>
      </w:pPr>
      <w:r w:rsidRPr="004B4939">
        <w:t>August Monthly Peak with 1-in-2 Weather Year Conditions</w:t>
      </w:r>
    </w:p>
    <w:tbl>
      <w:tblPr>
        <w:tblW w:w="8620" w:type="dxa"/>
        <w:jc w:val="center"/>
        <w:tblLook w:val="04A0" w:firstRow="1" w:lastRow="0" w:firstColumn="1" w:lastColumn="0" w:noHBand="0" w:noVBand="1"/>
      </w:tblPr>
      <w:tblGrid>
        <w:gridCol w:w="1050"/>
        <w:gridCol w:w="835"/>
        <w:gridCol w:w="1261"/>
        <w:gridCol w:w="910"/>
        <w:gridCol w:w="834"/>
        <w:gridCol w:w="833"/>
        <w:gridCol w:w="1277"/>
        <w:gridCol w:w="921"/>
        <w:gridCol w:w="789"/>
      </w:tblGrid>
      <w:tr w:rsidR="00412B1E" w:rsidRPr="00412B1E" w:rsidTr="00182842">
        <w:trPr>
          <w:trHeight w:val="360"/>
          <w:jc w:val="center"/>
        </w:trPr>
        <w:tc>
          <w:tcPr>
            <w:tcW w:w="960" w:type="dxa"/>
            <w:vMerge w:val="restart"/>
            <w:tcBorders>
              <w:top w:val="single" w:sz="4" w:space="0" w:color="auto"/>
              <w:left w:val="single" w:sz="4" w:space="0" w:color="auto"/>
              <w:bottom w:val="single" w:sz="4" w:space="0" w:color="000000"/>
              <w:right w:val="single" w:sz="4" w:space="0" w:color="FFFFFF"/>
            </w:tcBorders>
            <w:shd w:val="clear" w:color="auto" w:fill="1F497D" w:themeFill="text2"/>
            <w:vAlign w:val="center"/>
            <w:hideMark/>
          </w:tcPr>
          <w:p w:rsidR="00412B1E" w:rsidRPr="00412B1E" w:rsidRDefault="00412B1E" w:rsidP="00182842">
            <w:pPr>
              <w:pStyle w:val="TableHeader"/>
              <w:rPr>
                <w:rFonts w:eastAsia="Times New Roman"/>
              </w:rPr>
            </w:pPr>
            <w:r w:rsidRPr="00412B1E">
              <w:rPr>
                <w:rFonts w:eastAsia="Times New Roman"/>
              </w:rPr>
              <w:t>Forecast Year</w:t>
            </w:r>
          </w:p>
        </w:tc>
        <w:tc>
          <w:tcPr>
            <w:tcW w:w="3840" w:type="dxa"/>
            <w:gridSpan w:val="4"/>
            <w:tcBorders>
              <w:top w:val="single" w:sz="4" w:space="0" w:color="auto"/>
              <w:left w:val="nil"/>
              <w:bottom w:val="single" w:sz="4" w:space="0" w:color="FFFFFF"/>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 xml:space="preserve">Embedded </w:t>
            </w:r>
          </w:p>
        </w:tc>
        <w:tc>
          <w:tcPr>
            <w:tcW w:w="3820" w:type="dxa"/>
            <w:gridSpan w:val="4"/>
            <w:tcBorders>
              <w:top w:val="single" w:sz="4" w:space="0" w:color="auto"/>
              <w:left w:val="nil"/>
              <w:bottom w:val="single" w:sz="4" w:space="0" w:color="FFFFFF"/>
              <w:right w:val="single" w:sz="4" w:space="0" w:color="000000"/>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Incremental</w:t>
            </w:r>
          </w:p>
        </w:tc>
      </w:tr>
      <w:tr w:rsidR="00412B1E" w:rsidRPr="00412B1E" w:rsidTr="00182842">
        <w:trPr>
          <w:trHeight w:val="360"/>
          <w:jc w:val="center"/>
        </w:trPr>
        <w:tc>
          <w:tcPr>
            <w:tcW w:w="960" w:type="dxa"/>
            <w:vMerge/>
            <w:tcBorders>
              <w:top w:val="single" w:sz="4" w:space="0" w:color="auto"/>
              <w:left w:val="single" w:sz="4" w:space="0" w:color="auto"/>
              <w:bottom w:val="single" w:sz="4" w:space="0" w:color="000000"/>
              <w:right w:val="single" w:sz="4" w:space="0" w:color="FFFFFF"/>
            </w:tcBorders>
            <w:shd w:val="clear" w:color="auto" w:fill="1F497D" w:themeFill="text2"/>
            <w:vAlign w:val="center"/>
            <w:hideMark/>
          </w:tcPr>
          <w:p w:rsidR="00412B1E" w:rsidRPr="00412B1E" w:rsidRDefault="00412B1E" w:rsidP="00182842">
            <w:pPr>
              <w:pStyle w:val="TableHeader"/>
              <w:rPr>
                <w:rFonts w:eastAsia="Times New Roman"/>
              </w:rPr>
            </w:pPr>
          </w:p>
        </w:tc>
        <w:tc>
          <w:tcPr>
            <w:tcW w:w="835"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261"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910"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 xml:space="preserve"> Small</w:t>
            </w:r>
          </w:p>
        </w:tc>
        <w:tc>
          <w:tcPr>
            <w:tcW w:w="834"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Total</w:t>
            </w:r>
          </w:p>
        </w:tc>
        <w:tc>
          <w:tcPr>
            <w:tcW w:w="833"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277"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921" w:type="dxa"/>
            <w:tcBorders>
              <w:top w:val="nil"/>
              <w:left w:val="nil"/>
              <w:bottom w:val="single" w:sz="4" w:space="0" w:color="auto"/>
              <w:right w:val="single" w:sz="4" w:space="0" w:color="FFFFFF"/>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 xml:space="preserve"> Small</w:t>
            </w:r>
          </w:p>
        </w:tc>
        <w:tc>
          <w:tcPr>
            <w:tcW w:w="789" w:type="dxa"/>
            <w:tcBorders>
              <w:top w:val="nil"/>
              <w:left w:val="nil"/>
              <w:bottom w:val="single" w:sz="4" w:space="0" w:color="auto"/>
              <w:right w:val="single" w:sz="4" w:space="0" w:color="auto"/>
            </w:tcBorders>
            <w:shd w:val="clear" w:color="auto" w:fill="1F497D" w:themeFill="text2"/>
            <w:noWrap/>
            <w:vAlign w:val="center"/>
            <w:hideMark/>
          </w:tcPr>
          <w:p w:rsidR="00412B1E" w:rsidRPr="00412B1E" w:rsidRDefault="00412B1E" w:rsidP="00182842">
            <w:pPr>
              <w:pStyle w:val="TableHeader"/>
              <w:rPr>
                <w:rFonts w:eastAsia="Times New Roman"/>
              </w:rPr>
            </w:pPr>
            <w:r w:rsidRPr="00412B1E">
              <w:rPr>
                <w:rFonts w:eastAsia="Times New Roman"/>
              </w:rPr>
              <w:t>Total</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2013</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2.9</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2.5</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1.7</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7.1</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2014</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3.2</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4.3</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10.8</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2015</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4.5</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11.3</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2016</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4.6</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11.4</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2017</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4.6</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11.5</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2018</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4.7</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11.6</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2019</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4.8</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11.7</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2020</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4.8</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11.8</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2021</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4.9</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11.8</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2022</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5.0</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11.9</w:t>
            </w:r>
          </w:p>
        </w:tc>
      </w:tr>
      <w:tr w:rsidR="00412B1E" w:rsidRPr="00412B1E" w:rsidTr="00182842">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2023</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5.0</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12.0</w:t>
            </w:r>
          </w:p>
        </w:tc>
      </w:tr>
    </w:tbl>
    <w:p w:rsidR="00265FED" w:rsidRDefault="00265FED" w:rsidP="00265FED">
      <w:pPr>
        <w:pStyle w:val="BodyParaAfterTableFigure"/>
      </w:pPr>
      <w:r w:rsidRPr="004B4939">
        <w:t>The magnitude of the incremental demand reductions associated with TOU customers is highly uncertain.  While several pilots studied mandatory TOU rates for small and/or medium C&amp;I customers, most of them are not sufficiently analogous to PG&amp;E’s scheduled implementation of mandatory TOU rates or were unable to implement an ideal research design.  T</w:t>
      </w:r>
      <w:r w:rsidRPr="004B4939">
        <w:rPr>
          <w:rFonts w:cs="Arial"/>
          <w:szCs w:val="20"/>
        </w:rPr>
        <w:t xml:space="preserve">here is little precedent for mandatory placement of small and medium non-residential customers on TOU rates that are similar to those that are scheduled to be implemented by PG&amp;E.  </w:t>
      </w:r>
      <w:r w:rsidRPr="004B4939">
        <w:t>Each study has at least one critical component that differs from PG&amp;E’s scheduled implementation of mandatory TOU rates; either the rate is substantially different, the enrollment process is not comparable, the underlying population differs or decades have elapsed since the study was completed.  In addition, the estimates of price responsiveness produced by these studies vary widely.  The incremental ex ante load impact estimates for non-residential TOU rates reflect this uncertainty and should be used with caution.</w:t>
      </w:r>
      <w:r>
        <w:t xml:space="preserve">  </w:t>
      </w:r>
    </w:p>
    <w:p w:rsidR="00265FED" w:rsidRDefault="00265FED" w:rsidP="00265FED">
      <w:pPr>
        <w:pStyle w:val="BodyParagraph"/>
      </w:pPr>
      <w:r>
        <w:br w:type="page"/>
      </w:r>
    </w:p>
    <w:p w:rsidR="00265FED" w:rsidRDefault="00265FED" w:rsidP="00265FED">
      <w:pPr>
        <w:pStyle w:val="Heading1"/>
      </w:pPr>
      <w:bookmarkStart w:id="6" w:name="_Toc348688753"/>
      <w:bookmarkStart w:id="7" w:name="_Toc350519883"/>
      <w:r>
        <w:lastRenderedPageBreak/>
        <w:t>Introduction and Purpose of Study</w:t>
      </w:r>
      <w:bookmarkEnd w:id="3"/>
      <w:bookmarkEnd w:id="6"/>
      <w:bookmarkEnd w:id="7"/>
    </w:p>
    <w:p w:rsidR="00265FED" w:rsidRDefault="00265FED" w:rsidP="00265FED">
      <w:pPr>
        <w:pStyle w:val="BodyParagraph"/>
      </w:pPr>
      <w:r w:rsidRPr="001E346D">
        <w:t>In November 2012, PG&amp;E began placing their small and medium non-residential, non-agricultural customers onto mandatory TOU rates.  These customer</w:t>
      </w:r>
      <w:r>
        <w:t>s</w:t>
      </w:r>
      <w:r w:rsidRPr="001E346D">
        <w:t xml:space="preserve"> will</w:t>
      </w:r>
      <w:r w:rsidR="00182842">
        <w:t> </w:t>
      </w:r>
      <w:r w:rsidRPr="001E346D">
        <w:t>be on the TOU rates for at least two years, at which time they will begin to be defaulted onto a dynamic pricing tariff – Peak Day Pricing (PDP) – with the option to opt out to a TOU rate.  On March 1, 2013, all small and medium agricultural customers with smart meters installed for a sufficient period of time will be placed onto mandatory TOU rates.</w:t>
      </w:r>
      <w:r w:rsidRPr="0023457D">
        <w:t xml:space="preserve">  Consequently, PG&amp;E</w:t>
      </w:r>
      <w:r w:rsidR="00033579">
        <w:t xml:space="preserve"> has already begun or will soon begin</w:t>
      </w:r>
      <w:r w:rsidRPr="0023457D">
        <w:t xml:space="preserve"> </w:t>
      </w:r>
      <w:r w:rsidR="00033579">
        <w:t>transitioning</w:t>
      </w:r>
      <w:r w:rsidRPr="0023457D">
        <w:t xml:space="preserve"> roughly 400,000 small business customers, 40,000 medium business customers and 35,000 agricultural customers from flat pricing structures to time-varying pricing.</w:t>
      </w:r>
      <w:r>
        <w:t xml:space="preserve"> </w:t>
      </w:r>
      <w:r w:rsidR="006957C5">
        <w:t xml:space="preserve"> The main objective of this study is to estimate the incremental load impacts associated with these customers.</w:t>
      </w:r>
    </w:p>
    <w:p w:rsidR="00265FED" w:rsidRDefault="00265FED" w:rsidP="00182842">
      <w:pPr>
        <w:pStyle w:val="BodyParagraph"/>
        <w:rPr>
          <w:rFonts w:cs="Arial"/>
          <w:szCs w:val="20"/>
        </w:rPr>
      </w:pPr>
      <w:r>
        <w:rPr>
          <w:rFonts w:cs="Arial"/>
          <w:szCs w:val="20"/>
        </w:rPr>
        <w:t xml:space="preserve">Forecasts of the demand reductions that can be expected from mandatory TOU rates have several sources of uncertainty. </w:t>
      </w:r>
      <w:r>
        <w:t xml:space="preserve"> The evidence regarding TOU price response from small and medium customers is limited.  More recent studies have focused on dispatchable dynamic pricing, such as</w:t>
      </w:r>
      <w:r w:rsidR="006E094F">
        <w:t> </w:t>
      </w:r>
      <w:r>
        <w:t xml:space="preserve">critical peak pricing (CPP) rates, rather than TOU rates, which are in effect every weekday.  In addition, recent studies have typically analyzed customers who proactively enrolled on existing time-varying rates or pilots.  There is inherent uncertainty in applying price </w:t>
      </w:r>
      <w:proofErr w:type="spellStart"/>
      <w:r>
        <w:t>elasticities</w:t>
      </w:r>
      <w:proofErr w:type="spellEnd"/>
      <w:r>
        <w:t xml:space="preserve"> from recent voluntary CPP or TOU pilots to mandatory TOU rates.  Several studies from the 1980s focused on small and medium business price response to TOU rates and many of the studies simulated mandatory enrollment.  However, most of those pilots analyzed the short term, rather than the long run, response to TOU pricing.  In the long run, TOU rates can </w:t>
      </w:r>
      <w:r w:rsidR="00207C71">
        <w:t>motivate</w:t>
      </w:r>
      <w:r>
        <w:t xml:space="preserve"> decisions regarding the end-uses underlying a facility or operation schedules.  </w:t>
      </w:r>
      <w:r w:rsidR="00207C71">
        <w:rPr>
          <w:rFonts w:cs="Arial"/>
          <w:szCs w:val="20"/>
        </w:rPr>
        <w:t>The</w:t>
      </w:r>
      <w:r>
        <w:rPr>
          <w:rFonts w:cs="Arial"/>
          <w:szCs w:val="20"/>
        </w:rPr>
        <w:t xml:space="preserve"> few estimates of long term price response are usually from observational studies and not from controlled experiments or quasi experiments. </w:t>
      </w:r>
    </w:p>
    <w:p w:rsidR="00265FED" w:rsidRDefault="00265FED" w:rsidP="00265FED">
      <w:pPr>
        <w:pStyle w:val="BodyParagraph"/>
      </w:pPr>
      <w:r>
        <w:t xml:space="preserve">The 2012 </w:t>
      </w:r>
      <w:r w:rsidR="006E094F">
        <w:t>e</w:t>
      </w:r>
      <w:r>
        <w:t xml:space="preserve">valuation of PG&amp;E’s non-residential TOU rates does not differ in any meaningful way from the 2011 evaluation.  Since no new data was available, it was decided that the analysis methods used for this year’s evaluation would be analogous to the methods used last year, including the data samples.  The detailed explanation of the methodologies used to calculate the ex ante impacts from last year’s evaluation is in Appendix A of this year’s evaluation for reference.  As such, this study is comprised </w:t>
      </w:r>
      <w:r w:rsidR="00412B1E">
        <w:t>solely</w:t>
      </w:r>
      <w:r>
        <w:t xml:space="preserve"> of a brief overview of PG&amp;E’s non-residential TOU rates and projected</w:t>
      </w:r>
      <w:r w:rsidR="00C2564C">
        <w:t xml:space="preserve"> ex ante</w:t>
      </w:r>
      <w:r w:rsidR="00227E21">
        <w:t xml:space="preserve"> load impacts for these rates.</w:t>
      </w:r>
    </w:p>
    <w:p w:rsidR="00265FED" w:rsidRDefault="006957C5" w:rsidP="00265FED">
      <w:pPr>
        <w:pStyle w:val="BodyParagraph"/>
      </w:pPr>
      <w:r w:rsidRPr="006957C5">
        <w:t xml:space="preserve">The </w:t>
      </w:r>
      <w:r w:rsidR="00C75BF6" w:rsidRPr="006957C5">
        <w:t>ex ante impacts factor in the prior empirical evidence on TOU price response,</w:t>
      </w:r>
      <w:r w:rsidRPr="006957C5">
        <w:t xml:space="preserve"> however,</w:t>
      </w:r>
      <w:r w:rsidR="00C75BF6" w:rsidRPr="006957C5">
        <w:t xml:space="preserve"> there is substantial uncertainty concerning the magnitude of those impacts.  </w:t>
      </w:r>
      <w:r w:rsidRPr="006957C5">
        <w:t xml:space="preserve">This is because </w:t>
      </w:r>
      <w:r w:rsidRPr="006957C5">
        <w:rPr>
          <w:rFonts w:cs="Arial"/>
          <w:szCs w:val="20"/>
        </w:rPr>
        <w:t>th</w:t>
      </w:r>
      <w:r w:rsidR="00C75BF6" w:rsidRPr="006957C5">
        <w:rPr>
          <w:rFonts w:cs="Arial"/>
          <w:szCs w:val="20"/>
        </w:rPr>
        <w:t xml:space="preserve">ere is little precedent for mandatory placement of small and medium non-residential customers on TOU rates similar to those that have been and are scheduled to be implemented by PG&amp;E.  Mandatory rates for small customers have not been implemented on a utility-wide </w:t>
      </w:r>
      <w:r w:rsidRPr="006957C5">
        <w:rPr>
          <w:rFonts w:cs="Arial"/>
          <w:szCs w:val="20"/>
        </w:rPr>
        <w:t>scale</w:t>
      </w:r>
      <w:r w:rsidR="00C2564C">
        <w:rPr>
          <w:rFonts w:cs="Arial"/>
          <w:szCs w:val="20"/>
        </w:rPr>
        <w:t xml:space="preserve"> and have only been studied in pilots</w:t>
      </w:r>
      <w:r w:rsidR="00C75BF6" w:rsidRPr="006957C5">
        <w:rPr>
          <w:rFonts w:cs="Arial"/>
          <w:szCs w:val="20"/>
        </w:rPr>
        <w:t>.</w:t>
      </w:r>
      <w:r w:rsidR="00265FED">
        <w:rPr>
          <w:rFonts w:cs="Arial"/>
          <w:szCs w:val="20"/>
        </w:rPr>
        <w:t xml:space="preserve">  In contrast, mandatory TOU has been implemented for medium customers on a utility-wide scale.  However, the rate structures typically have included time-varying consumption charges, time-varying demand charges and the introduction of non-coincident demand charges.  </w:t>
      </w:r>
      <w:r w:rsidR="00265FED">
        <w:t xml:space="preserve">Before </w:t>
      </w:r>
      <w:r w:rsidR="00227E21">
        <w:t>presenting results</w:t>
      </w:r>
      <w:r w:rsidR="00265FED">
        <w:t>, it is useful to review the challe</w:t>
      </w:r>
      <w:r w:rsidR="00227E21">
        <w:t>nges in estimating TOU impacts, particularly as they impact this analysis.</w:t>
      </w:r>
    </w:p>
    <w:p w:rsidR="00265FED" w:rsidRDefault="00265FED" w:rsidP="00265FED">
      <w:pPr>
        <w:pStyle w:val="Heading2"/>
      </w:pPr>
      <w:bookmarkStart w:id="8" w:name="_Toc321408472"/>
      <w:bookmarkStart w:id="9" w:name="_Toc348688754"/>
      <w:bookmarkStart w:id="10" w:name="_Toc350519884"/>
      <w:r w:rsidRPr="00265FED">
        <w:lastRenderedPageBreak/>
        <w:t>Challenges</w:t>
      </w:r>
      <w:r>
        <w:t xml:space="preserve"> in Estimating TOU Price Response</w:t>
      </w:r>
      <w:bookmarkEnd w:id="8"/>
      <w:bookmarkEnd w:id="9"/>
      <w:bookmarkEnd w:id="10"/>
    </w:p>
    <w:p w:rsidR="00265FED" w:rsidRDefault="00265FED" w:rsidP="00265FED">
      <w:pPr>
        <w:pStyle w:val="BodyParagraph"/>
      </w:pPr>
      <w:r>
        <w:t>Evaluati</w:t>
      </w:r>
      <w:r w:rsidRPr="00276922">
        <w:t>n</w:t>
      </w:r>
      <w:r>
        <w:t>g the impact of</w:t>
      </w:r>
      <w:r w:rsidRPr="00276922">
        <w:t xml:space="preserve"> TOU rates is inherently more complex than </w:t>
      </w:r>
      <w:r>
        <w:t xml:space="preserve">evaluating event based programs and rates.  The key challenge is one of attribution.  Did the introduction of TOU rates cause a decrease in electricity consumption during peak periods when prices were higher or can the differences in peak period electricity use be explained by other factors?  To infer that TOU prices changed electricity use patterns, one must be able to systematically eliminate plausible alternative explanations for differences in electricity use patterns, including random chance. </w:t>
      </w:r>
    </w:p>
    <w:p w:rsidR="00265FED" w:rsidRDefault="00265FED" w:rsidP="00265FED">
      <w:pPr>
        <w:pStyle w:val="BodyBeforeBullet"/>
      </w:pPr>
      <w:r>
        <w:t xml:space="preserve">Evaluations of TOU rates are more complex than evaluating dynamic rates such as critical peak prices due to several factors:  </w:t>
      </w:r>
    </w:p>
    <w:p w:rsidR="00265FED" w:rsidRDefault="00265FED" w:rsidP="00265FED">
      <w:pPr>
        <w:pStyle w:val="Bullets"/>
      </w:pPr>
      <w:r w:rsidRPr="00761B38">
        <w:rPr>
          <w:i/>
        </w:rPr>
        <w:t>TOU rates are not event based</w:t>
      </w:r>
      <w:r>
        <w:rPr>
          <w:i/>
        </w:rPr>
        <w:t>.</w:t>
      </w:r>
      <w:r>
        <w:t xml:space="preserve">  O</w:t>
      </w:r>
      <w:r w:rsidRPr="00D3622A">
        <w:t xml:space="preserve">nce a customer is enrolled on a TOU rate, it is not possible to observe their behavior absent </w:t>
      </w:r>
      <w:r>
        <w:t>time varying</w:t>
      </w:r>
      <w:r w:rsidRPr="00D3622A">
        <w:t xml:space="preserve"> prices since the rate affects customers on a daily basis.</w:t>
      </w:r>
      <w:r>
        <w:t xml:space="preserve">  As a result, factors that coincide with the pre-enrollment or post-enrollment period and affect electricity use can be misattributed to TOU rates.  In contrast, with dynamic rates such as critical peak pricing it is possible to repeatedly</w:t>
      </w:r>
      <w:r w:rsidRPr="009C37D4">
        <w:t xml:space="preserve"> observe </w:t>
      </w:r>
      <w:r>
        <w:t xml:space="preserve">the </w:t>
      </w:r>
      <w:r w:rsidRPr="009C37D4">
        <w:t xml:space="preserve">behavior </w:t>
      </w:r>
      <w:r>
        <w:t xml:space="preserve">of participants </w:t>
      </w:r>
      <w:r w:rsidRPr="009C37D4">
        <w:t>with and w</w:t>
      </w:r>
      <w:r>
        <w:t xml:space="preserve">ithout the higher prices in effect and assess if the outcome – electricity consumption – changes in conjunction with the presence or absence of higher prices.  </w:t>
      </w:r>
    </w:p>
    <w:p w:rsidR="00265FED" w:rsidRDefault="00265FED" w:rsidP="00265FED">
      <w:pPr>
        <w:pStyle w:val="Bullets"/>
      </w:pPr>
      <w:r w:rsidRPr="00761B38">
        <w:rPr>
          <w:i/>
        </w:rPr>
        <w:t xml:space="preserve">Customers often self-select </w:t>
      </w:r>
      <w:r>
        <w:rPr>
          <w:i/>
        </w:rPr>
        <w:t>o</w:t>
      </w:r>
      <w:r w:rsidRPr="00761B38">
        <w:rPr>
          <w:i/>
        </w:rPr>
        <w:t>nto the rate or study</w:t>
      </w:r>
      <w:r>
        <w:rPr>
          <w:i/>
        </w:rPr>
        <w:t xml:space="preserve">. </w:t>
      </w:r>
      <w:r>
        <w:t xml:space="preserve"> For most TOU rates and pricing pilots customers who agree to enroll are, almost by definition, different from those who are offered participation but decline.  This is referred to as a selection effect.  These differences might be easily observed or they might be completely unobservable.  Comparing electricity use and load shapes for participants with those from a random group of customers who were not offered participation or, worse, with a group of customers who were offered participation but declined, can lead to incorrect conclusions.  For the comparison to be valid, it is critical that no systematic differences exist between the two groups (including unobservable differences).  Otherwise, one may incorrectly attribute differences in electricity use patterns to TOU rates when in fact they are due to differences between the customers who did and did not experience TOU rates. </w:t>
      </w:r>
    </w:p>
    <w:p w:rsidR="00265FED" w:rsidRPr="007331DC" w:rsidRDefault="00265FED" w:rsidP="00265FED">
      <w:pPr>
        <w:pStyle w:val="Bullets"/>
        <w:rPr>
          <w:i/>
        </w:rPr>
      </w:pPr>
      <w:r w:rsidRPr="008B7431">
        <w:rPr>
          <w:i/>
        </w:rPr>
        <w:t xml:space="preserve">The causal relationship </w:t>
      </w:r>
      <w:r>
        <w:rPr>
          <w:i/>
        </w:rPr>
        <w:t xml:space="preserve">can be </w:t>
      </w:r>
      <w:r w:rsidRPr="008B7431">
        <w:rPr>
          <w:i/>
        </w:rPr>
        <w:t>unclear, especially when data for pre-enrollment periods is unavailable</w:t>
      </w:r>
      <w:r>
        <w:rPr>
          <w:i/>
        </w:rPr>
        <w:t xml:space="preserve">.  </w:t>
      </w:r>
      <w:r>
        <w:t xml:space="preserve">A lack of pre-TOU data on load shapes raises the question of whether the load shapes changed because of the TOU rates or whether customers enrolled on the TOU rates because of their pre-existing load shapes. </w:t>
      </w:r>
    </w:p>
    <w:p w:rsidR="00265FED" w:rsidRDefault="00265FED" w:rsidP="00265FED">
      <w:pPr>
        <w:pStyle w:val="Bullets"/>
      </w:pPr>
      <w:r w:rsidRPr="007E5C9D">
        <w:rPr>
          <w:i/>
        </w:rPr>
        <w:t xml:space="preserve">TOU prices are less concentrated, leading to weaker price signals and smaller effects that are more difficult to detect. </w:t>
      </w:r>
      <w:r>
        <w:t xml:space="preserve"> Smaller percent reductions are harder to distinguish from normal variations in electricity use.  Unless relatively large sample sizes are used, it is often difficult to</w:t>
      </w:r>
      <w:r w:rsidR="00391614">
        <w:t> </w:t>
      </w:r>
      <w:r>
        <w:t>eliminate the likelihood that observed differences are due to chance.  All else being equal, distinguishing a 3% difference from random chance is far more difficult than distinguishing a 15% difference from chance.</w:t>
      </w:r>
    </w:p>
    <w:p w:rsidR="00265FED" w:rsidRPr="007E5C9D" w:rsidRDefault="00265FED" w:rsidP="00265FED">
      <w:pPr>
        <w:pStyle w:val="BulletLast"/>
      </w:pPr>
      <w:r w:rsidRPr="00F95EAE">
        <w:rPr>
          <w:i/>
        </w:rPr>
        <w:t>The long term effects of TOU prices may differ from those seen in the short term.</w:t>
      </w:r>
      <w:r w:rsidRPr="007E5C9D">
        <w:t xml:space="preserve"> </w:t>
      </w:r>
      <w:r>
        <w:t xml:space="preserve"> </w:t>
      </w:r>
      <w:r w:rsidRPr="007E5C9D">
        <w:t xml:space="preserve">In the short term, </w:t>
      </w:r>
      <w:r>
        <w:t xml:space="preserve">the only way </w:t>
      </w:r>
      <w:r w:rsidRPr="007E5C9D">
        <w:t>customers can typically alter their electricity use</w:t>
      </w:r>
      <w:r>
        <w:t xml:space="preserve"> is</w:t>
      </w:r>
      <w:r w:rsidRPr="007E5C9D">
        <w:t xml:space="preserve"> by changing their</w:t>
      </w:r>
      <w:r>
        <w:t xml:space="preserve"> day-to-day</w:t>
      </w:r>
      <w:r w:rsidRPr="007E5C9D">
        <w:t xml:space="preserve"> behavior.  In the long term, customers can alter electricity use patterns by their investment and operation decisions.  A straightforward example comes from the automotive industry.  When gasoline prices are high, customers do not cut back their driving by much, but the high prices often lead to purchases of more fuel efficient vehicles.</w:t>
      </w:r>
    </w:p>
    <w:p w:rsidR="00265FED" w:rsidRDefault="00265FED" w:rsidP="00265FED">
      <w:pPr>
        <w:pStyle w:val="BodyParagraph"/>
      </w:pPr>
      <w:r>
        <w:t>The best approach for evaluating TOU rates is to: 1) rely on random assignment of customers to TOU</w:t>
      </w:r>
      <w:r w:rsidR="006A3750">
        <w:t> </w:t>
      </w:r>
      <w:r>
        <w:t xml:space="preserve">rates and flat rates (producing a control group); 2) use pre and post TOU enrollment data; 3) use relatively large sample sizes and/or larger price differentials; and 4) run the study for multiple years.  A control group can provide information about how TOU participants would have used electricity had they not been exposed to time-varying price signals.  However, on its own, the use of a control group does not guarantee accurate results.  Because TOU participants often self-select onto the rates, they </w:t>
      </w:r>
      <w:r>
        <w:lastRenderedPageBreak/>
        <w:t xml:space="preserve">are usually different from customers on flat rates, and it is necessary to account for these differences.  Random assignment helps ensure </w:t>
      </w:r>
      <w:r w:rsidRPr="00D97D64">
        <w:t xml:space="preserve">that </w:t>
      </w:r>
      <w:r>
        <w:t xml:space="preserve">the </w:t>
      </w:r>
      <w:r w:rsidRPr="00D97D64">
        <w:t xml:space="preserve">only systematic difference between the two groups </w:t>
      </w:r>
      <w:r>
        <w:t xml:space="preserve">is the fact that one group </w:t>
      </w:r>
      <w:r w:rsidRPr="00FF2FB2">
        <w:rPr>
          <w:i/>
        </w:rPr>
        <w:t>was</w:t>
      </w:r>
      <w:r>
        <w:t xml:space="preserve"> exposed to TOU prices</w:t>
      </w:r>
      <w:r w:rsidRPr="00D97D64">
        <w:t xml:space="preserve"> while the other group </w:t>
      </w:r>
      <w:r w:rsidRPr="00FF2FB2">
        <w:rPr>
          <w:i/>
        </w:rPr>
        <w:t>was not</w:t>
      </w:r>
      <w:r>
        <w:t>.  Pre-enrollment data allows for verification that the differences in load shapes were indeed caused by the introduction of TOU and were not pre-existing.  Large sample sizes and strong price differentials help by reducing the likelihood that observed differences are due to random chance.  Finally, a long term study provides a better understanding of the short and long term effect of TOU rates.</w:t>
      </w:r>
    </w:p>
    <w:p w:rsidR="00265FED" w:rsidRDefault="00265FED" w:rsidP="00265FED">
      <w:pPr>
        <w:pStyle w:val="BodyParagraph"/>
      </w:pPr>
      <w:r>
        <w:t>To be useful, the results of a study must also hold for the customer segments of interest, the process used to enroll customers and the TOU rate design under consideration.  For example, studies of TOU price response for very large customers (over 1 MW) provide little useful information about how small customers (20 kW or less) will respond to TOU prices.  Likewise, studies that require participants to proactively enroll on time-varying rates or pilots can produce valid findings that may not be applicable if customers are enrolled on a mandatory or default basis.  The results from valid studies of TOU rates also cannot be applied with confidence to rate designs that differ substantially from those in the study.  A study of price response to time varying demand charges (kW) provides limited information about how customers might respond to time varying consumption charges (kWh).  The inference is strongest when the TOU rates have similar time varying components and similar peak to off-peak prices as those in the existing studies.</w:t>
      </w:r>
    </w:p>
    <w:p w:rsidR="00265FED" w:rsidRDefault="00265FED" w:rsidP="00265FED">
      <w:pPr>
        <w:pStyle w:val="BodyParagraph"/>
      </w:pPr>
      <w:r>
        <w:t>Unfortunately, most studies of small and medium C&amp;I response to TOU prices detailed in Appendix A are not sufficiently analogous to PG&amp;E’s scheduled implementation of mandatory TOU rates, or suffer from weak research design.  Each study has at least one critical component that differs from PG&amp;E’s scheduled implementation of mandatory TOU rates; either the rate is substantially different, the enrollment process is not comparable, or the underlying population differs.  While a number of studies have relied on control groups (some with random assignment some without), few have included pre-enrollment data and most relied on small sample sizes and/or small TOU price differentials.  Almost all TOU studies also focused on short</w:t>
      </w:r>
      <w:r w:rsidR="00D3329E">
        <w:t xml:space="preserve"> </w:t>
      </w:r>
      <w:r>
        <w:t xml:space="preserve">run price response to TOU rates.  However, these studies provide a broad set of benchmarks for likely TOU impacts over a range of different rates and customer populations. </w:t>
      </w:r>
    </w:p>
    <w:p w:rsidR="00265FED" w:rsidRDefault="00265FED" w:rsidP="00182842">
      <w:pPr>
        <w:pStyle w:val="Heading2"/>
      </w:pPr>
      <w:bookmarkStart w:id="11" w:name="_Toc321408474"/>
      <w:bookmarkStart w:id="12" w:name="_Toc348688755"/>
      <w:bookmarkStart w:id="13" w:name="_Toc350519885"/>
      <w:r w:rsidRPr="00182842">
        <w:t>Structure</w:t>
      </w:r>
      <w:r>
        <w:t xml:space="preserve"> of Report</w:t>
      </w:r>
      <w:bookmarkEnd w:id="11"/>
      <w:bookmarkEnd w:id="12"/>
      <w:bookmarkEnd w:id="13"/>
    </w:p>
    <w:p w:rsidR="00265FED" w:rsidRDefault="00265FED" w:rsidP="00265FED">
      <w:pPr>
        <w:pStyle w:val="BodyParagraph"/>
      </w:pPr>
      <w:r w:rsidRPr="001B6971">
        <w:t xml:space="preserve">The remainder of this report is divided into </w:t>
      </w:r>
      <w:r>
        <w:t>two</w:t>
      </w:r>
      <w:r w:rsidRPr="001B6971">
        <w:t xml:space="preserve"> additional sections. </w:t>
      </w:r>
      <w:r>
        <w:t xml:space="preserve"> Section 3 summarizes PG&amp;E’s non-residential TOU rates and population.  Section 4 documents the projected ex ante load impacts associated with PG&amp;E’s implementation of mandatory TOU rates for small and medium non-residential customers.  It details how the body of evidence related to mandatory TOU rates was used to develop the projections and how different sources of uncertainty were accounted for in the estimates. </w:t>
      </w:r>
    </w:p>
    <w:p w:rsidR="00265FED" w:rsidRDefault="00265FED">
      <w:pPr>
        <w:rPr>
          <w:rFonts w:ascii="Verdana" w:hAnsi="Verdana"/>
          <w:sz w:val="18"/>
        </w:rPr>
      </w:pPr>
      <w:r>
        <w:br w:type="page"/>
      </w:r>
    </w:p>
    <w:p w:rsidR="00265FED" w:rsidRDefault="00265FED" w:rsidP="00265FED">
      <w:pPr>
        <w:pStyle w:val="Heading1"/>
      </w:pPr>
      <w:bookmarkStart w:id="14" w:name="_Toc324345447"/>
      <w:bookmarkStart w:id="15" w:name="_Toc348688756"/>
      <w:bookmarkStart w:id="16" w:name="_Toc350519886"/>
      <w:bookmarkEnd w:id="14"/>
      <w:r w:rsidRPr="00D63ECF">
        <w:lastRenderedPageBreak/>
        <w:t>Description of Rates and Population</w:t>
      </w:r>
      <w:bookmarkEnd w:id="15"/>
      <w:bookmarkEnd w:id="16"/>
    </w:p>
    <w:p w:rsidR="00265FED" w:rsidRDefault="00265FED" w:rsidP="00265FED">
      <w:pPr>
        <w:pStyle w:val="BodyParagraph"/>
        <w:rPr>
          <w:rFonts w:cs="Arial"/>
        </w:rPr>
      </w:pPr>
      <w:r>
        <w:rPr>
          <w:rFonts w:cs="Arial"/>
        </w:rPr>
        <w:t>T</w:t>
      </w:r>
      <w:r w:rsidRPr="007131C5">
        <w:rPr>
          <w:rFonts w:cs="Arial"/>
        </w:rPr>
        <w:t>able 3-1 shows the</w:t>
      </w:r>
      <w:r>
        <w:rPr>
          <w:rFonts w:cs="Arial"/>
        </w:rPr>
        <w:t xml:space="preserve"> current PG&amp;E TOU rates available to customers.</w:t>
      </w:r>
      <w:r w:rsidRPr="007131C5">
        <w:rPr>
          <w:rStyle w:val="FootnoteReference"/>
          <w:rFonts w:cs="Arial"/>
        </w:rPr>
        <w:footnoteReference w:id="4"/>
      </w:r>
      <w:r>
        <w:rPr>
          <w:rFonts w:cs="Arial"/>
        </w:rPr>
        <w:t xml:space="preserve">  </w:t>
      </w:r>
      <w:r w:rsidRPr="001E346D">
        <w:rPr>
          <w:rFonts w:cs="Arial"/>
        </w:rPr>
        <w:t>The A1 and A10 TOU rates became mandatory for small and medium customers starting in November 2012, although customers could have voluntarily enrolled on those tariffs prior to the default date.  Starting in March 2013, the AG4A and AG4B rates will become mandatory for agricultural customers who have had hourly data available to them for a year or more.</w:t>
      </w:r>
      <w:r>
        <w:rPr>
          <w:rFonts w:cs="Arial"/>
        </w:rPr>
        <w:t xml:space="preserve">  Some of the rates have both time varying consumption and demand charges.  Both types of charges provide customers an incentive to reduce demand during peak hours and shift their consumption.   </w:t>
      </w:r>
    </w:p>
    <w:p w:rsidR="00265FED" w:rsidRDefault="00265FED" w:rsidP="00265FED">
      <w:pPr>
        <w:pStyle w:val="BodyParagraph"/>
        <w:rPr>
          <w:rFonts w:cs="Arial"/>
        </w:rPr>
      </w:pPr>
      <w:r>
        <w:rPr>
          <w:rFonts w:cs="Arial"/>
        </w:rPr>
        <w:t xml:space="preserve">In total, PG&amp;E has approximately 400,000 and 85,000 small and medium business accounts, respectively.  </w:t>
      </w:r>
      <w:r w:rsidRPr="007131C5">
        <w:rPr>
          <w:rFonts w:cs="Arial"/>
        </w:rPr>
        <w:t xml:space="preserve">Figure 3-1 illustrates the distribution of customers </w:t>
      </w:r>
      <w:r>
        <w:rPr>
          <w:rFonts w:cs="Arial"/>
        </w:rPr>
        <w:t xml:space="preserve">and total consumption by rate.  At the end of 2012, approximately 440,000 (90%) accounts were on flat rates, 40,000 (8%) were on TOU rates and 6,000 (&lt;2%) received their power supply from a third party provider (direct access).  However, customers on PG&amp;E’s TOU rates accounted for 25% of small and medium business summer consumption.  </w:t>
      </w:r>
      <w:r w:rsidRPr="001E346D">
        <w:rPr>
          <w:rFonts w:cs="Arial"/>
        </w:rPr>
        <w:t xml:space="preserve">This indicates that customers who voluntary enrolled in TOU rates are generally larger than those </w:t>
      </w:r>
      <w:r w:rsidR="005B5E77">
        <w:rPr>
          <w:rFonts w:cs="Arial"/>
        </w:rPr>
        <w:t>who</w:t>
      </w:r>
      <w:r w:rsidR="005B5E77" w:rsidRPr="001E346D">
        <w:rPr>
          <w:rFonts w:cs="Arial"/>
        </w:rPr>
        <w:t xml:space="preserve"> </w:t>
      </w:r>
      <w:r w:rsidRPr="001E346D">
        <w:rPr>
          <w:rFonts w:cs="Arial"/>
        </w:rPr>
        <w:t>have not done so.</w:t>
      </w:r>
    </w:p>
    <w:p w:rsidR="00265FED" w:rsidRDefault="00265FED" w:rsidP="00265FED">
      <w:pPr>
        <w:pStyle w:val="TableFigureCaption"/>
      </w:pPr>
      <w:r w:rsidRPr="007131C5">
        <w:t xml:space="preserve">Table </w:t>
      </w:r>
      <w:r>
        <w:t>3-</w:t>
      </w:r>
      <w:r w:rsidRPr="007131C5">
        <w:t>1: PG&amp;E TOU Rate Energy Prices</w:t>
      </w:r>
    </w:p>
    <w:tbl>
      <w:tblPr>
        <w:tblW w:w="8768" w:type="dxa"/>
        <w:tblInd w:w="93" w:type="dxa"/>
        <w:tblLook w:val="04A0" w:firstRow="1" w:lastRow="0" w:firstColumn="1" w:lastColumn="0" w:noHBand="0" w:noVBand="1"/>
      </w:tblPr>
      <w:tblGrid>
        <w:gridCol w:w="960"/>
        <w:gridCol w:w="1539"/>
        <w:gridCol w:w="960"/>
        <w:gridCol w:w="960"/>
        <w:gridCol w:w="960"/>
        <w:gridCol w:w="960"/>
        <w:gridCol w:w="960"/>
        <w:gridCol w:w="960"/>
        <w:gridCol w:w="960"/>
      </w:tblGrid>
      <w:tr w:rsidR="00265FED" w:rsidRPr="009D5FCB" w:rsidTr="00182842">
        <w:trPr>
          <w:trHeight w:val="450"/>
        </w:trPr>
        <w:tc>
          <w:tcPr>
            <w:tcW w:w="960" w:type="dxa"/>
            <w:vMerge w:val="restart"/>
            <w:tcBorders>
              <w:top w:val="single" w:sz="4" w:space="0" w:color="auto"/>
              <w:left w:val="single" w:sz="4" w:space="0" w:color="auto"/>
              <w:bottom w:val="single" w:sz="4" w:space="0" w:color="000000"/>
              <w:right w:val="single" w:sz="4" w:space="0" w:color="FFFFFF"/>
            </w:tcBorders>
            <w:shd w:val="clear" w:color="auto" w:fill="1F497D" w:themeFill="text2"/>
            <w:noWrap/>
            <w:vAlign w:val="center"/>
            <w:hideMark/>
          </w:tcPr>
          <w:p w:rsidR="00412B1E" w:rsidRPr="00182842" w:rsidRDefault="00265FED" w:rsidP="00182842">
            <w:pPr>
              <w:pStyle w:val="TableHeader"/>
            </w:pPr>
            <w:r w:rsidRPr="00182842">
              <w:t>Season</w:t>
            </w:r>
          </w:p>
        </w:tc>
        <w:tc>
          <w:tcPr>
            <w:tcW w:w="1088" w:type="dxa"/>
            <w:vMerge w:val="restart"/>
            <w:tcBorders>
              <w:top w:val="single" w:sz="4" w:space="0" w:color="auto"/>
              <w:left w:val="single" w:sz="4" w:space="0" w:color="FFFFFF"/>
              <w:bottom w:val="single" w:sz="4" w:space="0" w:color="000000"/>
              <w:right w:val="single" w:sz="4" w:space="0" w:color="FFFFFF"/>
            </w:tcBorders>
            <w:shd w:val="clear" w:color="auto" w:fill="1F497D" w:themeFill="text2"/>
            <w:vAlign w:val="center"/>
            <w:hideMark/>
          </w:tcPr>
          <w:p w:rsidR="00412B1E" w:rsidRPr="00182842" w:rsidRDefault="00265FED" w:rsidP="00182842">
            <w:pPr>
              <w:pStyle w:val="TableHeader"/>
            </w:pPr>
            <w:r w:rsidRPr="00182842">
              <w:t>Type of Charge/Credit</w:t>
            </w:r>
          </w:p>
        </w:tc>
        <w:tc>
          <w:tcPr>
            <w:tcW w:w="2880" w:type="dxa"/>
            <w:gridSpan w:val="3"/>
            <w:tcBorders>
              <w:top w:val="single" w:sz="4" w:space="0" w:color="auto"/>
              <w:left w:val="nil"/>
              <w:bottom w:val="single" w:sz="4" w:space="0" w:color="FFFFFF"/>
              <w:right w:val="single" w:sz="4" w:space="0" w:color="FFFFFF"/>
            </w:tcBorders>
            <w:shd w:val="clear" w:color="auto" w:fill="1F497D" w:themeFill="text2"/>
            <w:noWrap/>
            <w:vAlign w:val="center"/>
            <w:hideMark/>
          </w:tcPr>
          <w:p w:rsidR="00412B1E" w:rsidRPr="00182842" w:rsidRDefault="00265FED" w:rsidP="00182842">
            <w:pPr>
              <w:pStyle w:val="TableHeader"/>
            </w:pPr>
            <w:r w:rsidRPr="00182842">
              <w:t>Mandatory Rates (Starting 2013)</w:t>
            </w:r>
          </w:p>
        </w:tc>
        <w:tc>
          <w:tcPr>
            <w:tcW w:w="3840" w:type="dxa"/>
            <w:gridSpan w:val="4"/>
            <w:tcBorders>
              <w:top w:val="single" w:sz="4" w:space="0" w:color="auto"/>
              <w:left w:val="nil"/>
              <w:bottom w:val="single" w:sz="4" w:space="0" w:color="FFFFFF"/>
              <w:right w:val="single" w:sz="4" w:space="0" w:color="000000"/>
            </w:tcBorders>
            <w:shd w:val="clear" w:color="auto" w:fill="1F497D" w:themeFill="text2"/>
            <w:noWrap/>
            <w:vAlign w:val="center"/>
            <w:hideMark/>
          </w:tcPr>
          <w:p w:rsidR="00412B1E" w:rsidRPr="00182842" w:rsidRDefault="00390D55" w:rsidP="00182842">
            <w:pPr>
              <w:pStyle w:val="TableHeader"/>
            </w:pPr>
            <w:r w:rsidRPr="00182842">
              <w:t>Voluntary Rates</w:t>
            </w:r>
          </w:p>
        </w:tc>
      </w:tr>
      <w:tr w:rsidR="00265FED" w:rsidRPr="009D5FCB" w:rsidTr="00182842">
        <w:trPr>
          <w:trHeight w:val="300"/>
        </w:trPr>
        <w:tc>
          <w:tcPr>
            <w:tcW w:w="960" w:type="dxa"/>
            <w:vMerge/>
            <w:tcBorders>
              <w:top w:val="single" w:sz="4" w:space="0" w:color="auto"/>
              <w:left w:val="single" w:sz="4" w:space="0" w:color="auto"/>
              <w:bottom w:val="single" w:sz="4" w:space="0" w:color="000000"/>
              <w:right w:val="single" w:sz="4" w:space="0" w:color="FFFFFF"/>
            </w:tcBorders>
            <w:shd w:val="clear" w:color="auto" w:fill="1F497D" w:themeFill="text2"/>
            <w:vAlign w:val="center"/>
            <w:hideMark/>
          </w:tcPr>
          <w:p w:rsidR="00412B1E" w:rsidRPr="00182842" w:rsidRDefault="00412B1E" w:rsidP="00182842">
            <w:pPr>
              <w:pStyle w:val="TableHeader"/>
            </w:pPr>
          </w:p>
        </w:tc>
        <w:tc>
          <w:tcPr>
            <w:tcW w:w="1088" w:type="dxa"/>
            <w:vMerge/>
            <w:tcBorders>
              <w:top w:val="single" w:sz="4" w:space="0" w:color="auto"/>
              <w:left w:val="single" w:sz="4" w:space="0" w:color="FFFFFF"/>
              <w:bottom w:val="single" w:sz="4" w:space="0" w:color="000000"/>
              <w:right w:val="single" w:sz="4" w:space="0" w:color="FFFFFF"/>
            </w:tcBorders>
            <w:shd w:val="clear" w:color="auto" w:fill="1F497D" w:themeFill="text2"/>
            <w:vAlign w:val="center"/>
            <w:hideMark/>
          </w:tcPr>
          <w:p w:rsidR="00412B1E" w:rsidRPr="00182842" w:rsidRDefault="00412B1E" w:rsidP="00182842">
            <w:pPr>
              <w:pStyle w:val="TableHeader"/>
            </w:pPr>
          </w:p>
        </w:tc>
        <w:tc>
          <w:tcPr>
            <w:tcW w:w="960" w:type="dxa"/>
            <w:tcBorders>
              <w:top w:val="nil"/>
              <w:left w:val="nil"/>
              <w:bottom w:val="single" w:sz="4" w:space="0" w:color="auto"/>
              <w:right w:val="single" w:sz="4" w:space="0" w:color="FFFFFF"/>
            </w:tcBorders>
            <w:shd w:val="clear" w:color="auto" w:fill="1F497D" w:themeFill="text2"/>
            <w:noWrap/>
            <w:vAlign w:val="center"/>
            <w:hideMark/>
          </w:tcPr>
          <w:p w:rsidR="00412B1E" w:rsidRPr="00182842" w:rsidRDefault="00390D55" w:rsidP="00182842">
            <w:pPr>
              <w:pStyle w:val="TableHeader"/>
            </w:pPr>
            <w:r w:rsidRPr="00182842">
              <w:t>Period</w:t>
            </w:r>
          </w:p>
        </w:tc>
        <w:tc>
          <w:tcPr>
            <w:tcW w:w="960" w:type="dxa"/>
            <w:tcBorders>
              <w:top w:val="nil"/>
              <w:left w:val="nil"/>
              <w:bottom w:val="single" w:sz="4" w:space="0" w:color="auto"/>
              <w:right w:val="single" w:sz="4" w:space="0" w:color="FFFFFF"/>
            </w:tcBorders>
            <w:shd w:val="clear" w:color="auto" w:fill="1F497D" w:themeFill="text2"/>
            <w:vAlign w:val="center"/>
            <w:hideMark/>
          </w:tcPr>
          <w:p w:rsidR="00412B1E" w:rsidRPr="00182842" w:rsidRDefault="00390D55" w:rsidP="00182842">
            <w:pPr>
              <w:pStyle w:val="TableHeader"/>
            </w:pPr>
            <w:r w:rsidRPr="00182842">
              <w:t>A1</w:t>
            </w:r>
          </w:p>
        </w:tc>
        <w:tc>
          <w:tcPr>
            <w:tcW w:w="960" w:type="dxa"/>
            <w:tcBorders>
              <w:top w:val="nil"/>
              <w:left w:val="nil"/>
              <w:bottom w:val="single" w:sz="4" w:space="0" w:color="auto"/>
              <w:right w:val="single" w:sz="4" w:space="0" w:color="FFFFFF"/>
            </w:tcBorders>
            <w:shd w:val="clear" w:color="auto" w:fill="1F497D" w:themeFill="text2"/>
            <w:vAlign w:val="center"/>
            <w:hideMark/>
          </w:tcPr>
          <w:p w:rsidR="00412B1E" w:rsidRPr="00182842" w:rsidRDefault="00390D55" w:rsidP="00182842">
            <w:pPr>
              <w:pStyle w:val="TableHeader"/>
            </w:pPr>
            <w:r w:rsidRPr="00182842">
              <w:t>A10</w:t>
            </w:r>
          </w:p>
        </w:tc>
        <w:tc>
          <w:tcPr>
            <w:tcW w:w="960" w:type="dxa"/>
            <w:tcBorders>
              <w:top w:val="nil"/>
              <w:left w:val="nil"/>
              <w:bottom w:val="single" w:sz="4" w:space="0" w:color="auto"/>
              <w:right w:val="single" w:sz="4" w:space="0" w:color="FFFFFF"/>
            </w:tcBorders>
            <w:shd w:val="clear" w:color="auto" w:fill="1F497D" w:themeFill="text2"/>
            <w:vAlign w:val="center"/>
            <w:hideMark/>
          </w:tcPr>
          <w:p w:rsidR="00412B1E" w:rsidRPr="00182842" w:rsidRDefault="00390D55" w:rsidP="00182842">
            <w:pPr>
              <w:pStyle w:val="TableHeader"/>
            </w:pPr>
            <w:r w:rsidRPr="00182842">
              <w:t>A6</w:t>
            </w:r>
          </w:p>
        </w:tc>
        <w:tc>
          <w:tcPr>
            <w:tcW w:w="960" w:type="dxa"/>
            <w:tcBorders>
              <w:top w:val="nil"/>
              <w:left w:val="nil"/>
              <w:bottom w:val="single" w:sz="4" w:space="0" w:color="auto"/>
              <w:right w:val="single" w:sz="4" w:space="0" w:color="FFFFFF"/>
            </w:tcBorders>
            <w:shd w:val="clear" w:color="auto" w:fill="1F497D" w:themeFill="text2"/>
            <w:vAlign w:val="center"/>
            <w:hideMark/>
          </w:tcPr>
          <w:p w:rsidR="00412B1E" w:rsidRPr="00182842" w:rsidRDefault="00390D55" w:rsidP="00182842">
            <w:pPr>
              <w:pStyle w:val="TableHeader"/>
            </w:pPr>
            <w:r w:rsidRPr="00182842">
              <w:t>E19</w:t>
            </w:r>
          </w:p>
        </w:tc>
        <w:tc>
          <w:tcPr>
            <w:tcW w:w="960" w:type="dxa"/>
            <w:tcBorders>
              <w:top w:val="nil"/>
              <w:left w:val="nil"/>
              <w:bottom w:val="single" w:sz="4" w:space="0" w:color="auto"/>
              <w:right w:val="single" w:sz="4" w:space="0" w:color="FFFFFF"/>
            </w:tcBorders>
            <w:shd w:val="clear" w:color="auto" w:fill="1F497D" w:themeFill="text2"/>
            <w:vAlign w:val="center"/>
            <w:hideMark/>
          </w:tcPr>
          <w:p w:rsidR="00412B1E" w:rsidRPr="00182842" w:rsidRDefault="00390D55" w:rsidP="00182842">
            <w:pPr>
              <w:pStyle w:val="TableHeader"/>
            </w:pPr>
            <w:r w:rsidRPr="00182842">
              <w:t>AG4A</w:t>
            </w:r>
          </w:p>
        </w:tc>
        <w:tc>
          <w:tcPr>
            <w:tcW w:w="960" w:type="dxa"/>
            <w:tcBorders>
              <w:top w:val="nil"/>
              <w:left w:val="nil"/>
              <w:bottom w:val="single" w:sz="4" w:space="0" w:color="auto"/>
              <w:right w:val="single" w:sz="4" w:space="0" w:color="auto"/>
            </w:tcBorders>
            <w:shd w:val="clear" w:color="auto" w:fill="1F497D" w:themeFill="text2"/>
            <w:vAlign w:val="center"/>
            <w:hideMark/>
          </w:tcPr>
          <w:p w:rsidR="00412B1E" w:rsidRPr="00182842" w:rsidRDefault="00390D55" w:rsidP="00182842">
            <w:pPr>
              <w:pStyle w:val="TableHeader"/>
            </w:pPr>
            <w:r w:rsidRPr="00182842">
              <w:t>AG4B</w:t>
            </w:r>
          </w:p>
        </w:tc>
      </w:tr>
      <w:tr w:rsidR="00265FED" w:rsidRPr="009D5FCB" w:rsidTr="00265FED">
        <w:trPr>
          <w:trHeight w:val="300"/>
        </w:trPr>
        <w:tc>
          <w:tcPr>
            <w:tcW w:w="960" w:type="dxa"/>
            <w:vMerge w:val="restart"/>
            <w:tcBorders>
              <w:top w:val="nil"/>
              <w:left w:val="single" w:sz="4" w:space="0" w:color="auto"/>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Summer</w:t>
            </w:r>
          </w:p>
        </w:tc>
        <w:tc>
          <w:tcPr>
            <w:tcW w:w="108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Energy Rates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On-Peak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$0.23</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$0.16</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$0.49</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$0.32</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$0.23</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Semi-Peak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$0.22</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$0.15</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$0.10</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Off-Peak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$0.20</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$0.13</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$0.07</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$0.12</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val="restart"/>
            <w:tcBorders>
              <w:top w:val="nil"/>
              <w:left w:val="single" w:sz="4" w:space="0" w:color="auto"/>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Demand Charges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On-Peak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$16.13</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$4.09</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Semi-Peak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$3.74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r>
      <w:tr w:rsidR="00265FED" w:rsidRPr="009D5FCB" w:rsidTr="00265FED">
        <w:trPr>
          <w:trHeight w:val="9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Max Demand (Across all periods)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$12.57</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$11.79</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$5.56</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$7.44</w:t>
            </w:r>
          </w:p>
        </w:tc>
      </w:tr>
      <w:tr w:rsidR="00265FED" w:rsidRPr="009D5FCB" w:rsidTr="00265FED">
        <w:trPr>
          <w:trHeight w:val="300"/>
        </w:trPr>
        <w:tc>
          <w:tcPr>
            <w:tcW w:w="960" w:type="dxa"/>
            <w:vMerge w:val="restart"/>
            <w:tcBorders>
              <w:top w:val="nil"/>
              <w:left w:val="single" w:sz="4" w:space="0" w:color="auto"/>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Winter</w:t>
            </w:r>
          </w:p>
        </w:tc>
        <w:tc>
          <w:tcPr>
            <w:tcW w:w="108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Energy Rates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On-Peak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Semi-Peak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$0.16</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$0.11</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$0.16</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$0.09</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$0.15</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$0.12</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Off-Peak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$0.14</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$0.10</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$0.13</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$0.07</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$0.12</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$0.10</w:t>
            </w: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65FED" w:rsidRPr="009D5FCB" w:rsidRDefault="00265FED" w:rsidP="00265FED">
            <w:pPr>
              <w:pStyle w:val="TableText"/>
              <w:spacing w:before="20" w:after="20"/>
              <w:contextualSpacing/>
              <w:rPr>
                <w:rFonts w:ascii="Calibri" w:hAnsi="Calibri" w:cs="Calibri"/>
              </w:rPr>
            </w:pPr>
            <w:r w:rsidRPr="009D5FCB">
              <w:rPr>
                <w:rFonts w:ascii="Calibri" w:hAnsi="Calibri" w:cs="Calibri"/>
              </w:rPr>
              <w:t>Demand Charges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On-Peak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r>
      <w:tr w:rsidR="00265FED" w:rsidRPr="009D5FCB" w:rsidTr="00265FED">
        <w:trPr>
          <w:trHeight w:val="3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rPr>
                <w:rFonts w:ascii="Calibri" w:hAnsi="Calibri" w:cs="Calibri"/>
              </w:rPr>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Semi-Peak</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$0.21</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w:t>
            </w:r>
          </w:p>
        </w:tc>
      </w:tr>
      <w:tr w:rsidR="00265FED" w:rsidRPr="009D5FCB" w:rsidTr="00265FED">
        <w:trPr>
          <w:trHeight w:val="900"/>
        </w:trPr>
        <w:tc>
          <w:tcPr>
            <w:tcW w:w="960" w:type="dxa"/>
            <w:vMerge/>
            <w:tcBorders>
              <w:top w:val="nil"/>
              <w:left w:val="single" w:sz="4" w:space="0" w:color="auto"/>
              <w:bottom w:val="single" w:sz="4" w:space="0" w:color="auto"/>
              <w:right w:val="single" w:sz="4" w:space="0" w:color="auto"/>
            </w:tcBorders>
            <w:vAlign w:val="center"/>
            <w:hideMark/>
          </w:tcPr>
          <w:p w:rsidR="00265FED" w:rsidRPr="009D5FCB" w:rsidRDefault="00265FED" w:rsidP="00265FED">
            <w:pPr>
              <w:pStyle w:val="TableText"/>
              <w:spacing w:before="20" w:after="20"/>
              <w:contextualSpacing/>
            </w:pPr>
          </w:p>
        </w:tc>
        <w:tc>
          <w:tcPr>
            <w:tcW w:w="1088" w:type="dxa"/>
            <w:vMerge/>
            <w:tcBorders>
              <w:top w:val="nil"/>
              <w:left w:val="single" w:sz="4" w:space="0" w:color="auto"/>
              <w:bottom w:val="single" w:sz="4" w:space="0" w:color="000000"/>
              <w:right w:val="single" w:sz="4" w:space="0" w:color="auto"/>
            </w:tcBorders>
            <w:vAlign w:val="center"/>
            <w:hideMark/>
          </w:tcPr>
          <w:p w:rsidR="00265FED" w:rsidRPr="009D5FCB" w:rsidRDefault="00265FED" w:rsidP="00265FED">
            <w:pPr>
              <w:pStyle w:val="TableText"/>
              <w:spacing w:before="20" w:after="20"/>
              <w:contextualSpacing/>
              <w:rPr>
                <w:rFonts w:ascii="Calibri" w:hAnsi="Calibri" w:cs="Calibri"/>
              </w:rPr>
            </w:pP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Max Demand (Across all periods)</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$5.60</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N/A</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$11.79</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$0.80</w:t>
            </w:r>
          </w:p>
        </w:tc>
        <w:tc>
          <w:tcPr>
            <w:tcW w:w="960" w:type="dxa"/>
            <w:tcBorders>
              <w:top w:val="nil"/>
              <w:left w:val="nil"/>
              <w:bottom w:val="single" w:sz="4" w:space="0" w:color="auto"/>
              <w:right w:val="single" w:sz="4" w:space="0" w:color="auto"/>
            </w:tcBorders>
            <w:shd w:val="clear" w:color="000000" w:fill="FFFFFF"/>
            <w:vAlign w:val="center"/>
            <w:hideMark/>
          </w:tcPr>
          <w:p w:rsidR="00265FED" w:rsidRPr="009D5FCB" w:rsidRDefault="00265FED" w:rsidP="00265FED">
            <w:pPr>
              <w:pStyle w:val="TableText"/>
              <w:spacing w:before="20" w:after="20"/>
              <w:contextualSpacing/>
            </w:pPr>
            <w:r w:rsidRPr="009D5FCB">
              <w:t>$1.65</w:t>
            </w:r>
          </w:p>
        </w:tc>
      </w:tr>
    </w:tbl>
    <w:p w:rsidR="00265FED" w:rsidRDefault="00265FED" w:rsidP="00265FED">
      <w:pPr>
        <w:pStyle w:val="BodyParaAfterTableFigure"/>
      </w:pPr>
      <w:r>
        <w:lastRenderedPageBreak/>
        <w:t>The share of small and medium Agricultural customers voluntarily enrolled on TOU is larger than the</w:t>
      </w:r>
      <w:r w:rsidR="002B3145">
        <w:t> </w:t>
      </w:r>
      <w:r>
        <w:t xml:space="preserve">share for commercial and industrial businesses.  In total, PG&amp;E has 80,000 small and medium agricultural pumping accounts.  </w:t>
      </w:r>
      <w:r w:rsidRPr="007131C5">
        <w:t xml:space="preserve">Figure 3-1 illustrates the distribution of customers </w:t>
      </w:r>
      <w:r>
        <w:t>and total consumption by rate.  Overall, 55% of small and medium Agricultural accounts were already enrolled</w:t>
      </w:r>
      <w:r w:rsidR="002B3145">
        <w:t> </w:t>
      </w:r>
      <w:r>
        <w:t>on TOU rates – AG4A, AG4B, AG5A, AG5B, Other AG – in 2012.  Combined TOU participants accounted for about 85% of the total consumption by small and medium agricultural customers</w:t>
      </w:r>
      <w:r w:rsidRPr="00D302B7">
        <w:t xml:space="preserve"> </w:t>
      </w:r>
      <w:r>
        <w:t xml:space="preserve">over the summer months.  </w:t>
      </w:r>
    </w:p>
    <w:p w:rsidR="00265FED" w:rsidRDefault="00265FED" w:rsidP="00265FED">
      <w:pPr>
        <w:pStyle w:val="TableFigureCaption"/>
      </w:pPr>
      <w:r>
        <w:t>Figure</w:t>
      </w:r>
      <w:r w:rsidRPr="007131C5">
        <w:t xml:space="preserve"> </w:t>
      </w:r>
      <w:r>
        <w:t>3-1</w:t>
      </w:r>
      <w:r w:rsidRPr="007131C5">
        <w:t xml:space="preserve">: </w:t>
      </w:r>
      <w:r>
        <w:t>Small and Medium</w:t>
      </w:r>
      <w:r w:rsidRPr="00E26981">
        <w:t xml:space="preserve"> </w:t>
      </w:r>
      <w:r>
        <w:t>Commercial Business Distribution by Rate</w:t>
      </w:r>
      <w:r w:rsidRPr="00E26981">
        <w:t xml:space="preserve"> </w:t>
      </w:r>
    </w:p>
    <w:p w:rsidR="00265FED" w:rsidRPr="00F5609F" w:rsidRDefault="00265FED" w:rsidP="00265FED">
      <w:pPr>
        <w:pStyle w:val="TableFigureCaption"/>
      </w:pPr>
      <w:r>
        <w:rPr>
          <w:b w:val="0"/>
          <w:noProof/>
        </w:rPr>
        <w:drawing>
          <wp:inline distT="0" distB="0" distL="0" distR="0" wp14:anchorId="4ACF6712" wp14:editId="11B1FCED">
            <wp:extent cx="5943600" cy="2737509"/>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cstate="print"/>
                    <a:srcRect/>
                    <a:stretch>
                      <a:fillRect/>
                    </a:stretch>
                  </pic:blipFill>
                  <pic:spPr bwMode="auto">
                    <a:xfrm>
                      <a:off x="0" y="0"/>
                      <a:ext cx="5943600" cy="2737509"/>
                    </a:xfrm>
                    <a:prstGeom prst="rect">
                      <a:avLst/>
                    </a:prstGeom>
                    <a:noFill/>
                    <a:ln w="9525">
                      <a:noFill/>
                      <a:miter lim="800000"/>
                      <a:headEnd/>
                      <a:tailEnd/>
                    </a:ln>
                  </pic:spPr>
                </pic:pic>
              </a:graphicData>
            </a:graphic>
          </wp:inline>
        </w:drawing>
      </w:r>
      <w:r>
        <w:t xml:space="preserve"> </w:t>
      </w:r>
    </w:p>
    <w:p w:rsidR="00265FED" w:rsidRPr="00C73731" w:rsidRDefault="00265FED" w:rsidP="00265FED">
      <w:pPr>
        <w:pStyle w:val="TableFigureCaption"/>
      </w:pPr>
      <w:r>
        <w:t>Figure</w:t>
      </w:r>
      <w:r w:rsidRPr="007131C5">
        <w:t xml:space="preserve"> </w:t>
      </w:r>
      <w:r>
        <w:t>3-2</w:t>
      </w:r>
      <w:r w:rsidRPr="007131C5">
        <w:t xml:space="preserve">: </w:t>
      </w:r>
      <w:r>
        <w:t>Small and Medium Agricultural Customers Distribution by Rate</w:t>
      </w:r>
    </w:p>
    <w:p w:rsidR="00265FED" w:rsidRDefault="00265FED" w:rsidP="00265FED">
      <w:pPr>
        <w:pStyle w:val="BodyParagraph"/>
      </w:pPr>
      <w:r>
        <w:rPr>
          <w:noProof/>
        </w:rPr>
        <w:drawing>
          <wp:inline distT="0" distB="0" distL="0" distR="0" wp14:anchorId="7440CC56" wp14:editId="74EC00F1">
            <wp:extent cx="5943600" cy="2863791"/>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cstate="print"/>
                    <a:srcRect/>
                    <a:stretch>
                      <a:fillRect/>
                    </a:stretch>
                  </pic:blipFill>
                  <pic:spPr bwMode="auto">
                    <a:xfrm>
                      <a:off x="0" y="0"/>
                      <a:ext cx="5943600" cy="2863791"/>
                    </a:xfrm>
                    <a:prstGeom prst="rect">
                      <a:avLst/>
                    </a:prstGeom>
                    <a:noFill/>
                    <a:ln w="9525">
                      <a:noFill/>
                      <a:miter lim="800000"/>
                      <a:headEnd/>
                      <a:tailEnd/>
                    </a:ln>
                  </pic:spPr>
                </pic:pic>
              </a:graphicData>
            </a:graphic>
          </wp:inline>
        </w:drawing>
      </w:r>
      <w:bookmarkStart w:id="17" w:name="_Toc324345450"/>
      <w:bookmarkEnd w:id="17"/>
    </w:p>
    <w:p w:rsidR="00265FED" w:rsidRPr="001E346D" w:rsidRDefault="00265FED" w:rsidP="00265FED">
      <w:pPr>
        <w:pStyle w:val="Heading1"/>
      </w:pPr>
      <w:r>
        <w:br w:type="column"/>
      </w:r>
      <w:bookmarkStart w:id="18" w:name="_Toc348688757"/>
      <w:bookmarkStart w:id="19" w:name="_Toc350519887"/>
      <w:r w:rsidRPr="001E346D">
        <w:lastRenderedPageBreak/>
        <w:t>Ex Ante Load Impacts</w:t>
      </w:r>
      <w:bookmarkEnd w:id="18"/>
      <w:bookmarkEnd w:id="19"/>
      <w:r w:rsidRPr="001E346D">
        <w:t xml:space="preserve"> </w:t>
      </w:r>
    </w:p>
    <w:p w:rsidR="00265FED" w:rsidRPr="001E346D" w:rsidRDefault="00265FED" w:rsidP="00265FED">
      <w:pPr>
        <w:pStyle w:val="BodyParagraph"/>
      </w:pPr>
      <w:r w:rsidRPr="001E346D">
        <w:t>This section presents ex ante load impact estimates for PG&amp;E's non-residential TOU rates</w:t>
      </w:r>
      <w:r>
        <w:t xml:space="preserve"> for 2013-2023</w:t>
      </w:r>
      <w:r w:rsidRPr="001E346D">
        <w:t>.  The main purpose of ex ante load impact estimates is to reflect the load reduction capability of a DR resource under a standard set of conditions that align with system planning.  Whenever possible, ex ante l</w:t>
      </w:r>
      <w:r w:rsidR="00207C71">
        <w:t>oad impacts should be grounded i</w:t>
      </w:r>
      <w:r w:rsidRPr="001E346D">
        <w:t>n analysis of historical performance.</w:t>
      </w:r>
    </w:p>
    <w:p w:rsidR="00265FED" w:rsidRPr="001E346D" w:rsidRDefault="00265FED" w:rsidP="00265FED">
      <w:pPr>
        <w:pStyle w:val="BodyParagraph"/>
      </w:pPr>
      <w:r w:rsidRPr="001E346D">
        <w:t xml:space="preserve">TOU rates present a unique set of conditions.  Because TOU rates are in effect every day, the demand reductions for customers </w:t>
      </w:r>
      <w:r w:rsidR="001F618E">
        <w:t>who</w:t>
      </w:r>
      <w:r w:rsidR="001F618E" w:rsidRPr="001E346D">
        <w:t xml:space="preserve"> </w:t>
      </w:r>
      <w:r w:rsidRPr="001E346D">
        <w:t xml:space="preserve">have been on TOU rates for many years are already embedded into forecasts of system peak load that drive system planning.  As a result, it is necessary to distinguish between embedded impacts from customers already on TOU rates and incremental impacts from small and medium customers </w:t>
      </w:r>
      <w:r w:rsidR="00F105AD">
        <w:t>transitioning</w:t>
      </w:r>
      <w:r w:rsidRPr="001E346D">
        <w:t xml:space="preserve"> to mandatory TOU rates. </w:t>
      </w:r>
      <w:r>
        <w:t xml:space="preserve"> SMB customers began being</w:t>
      </w:r>
      <w:r w:rsidRPr="001E346D">
        <w:t xml:space="preserve"> default</w:t>
      </w:r>
      <w:r>
        <w:t>ed on</w:t>
      </w:r>
      <w:r w:rsidRPr="001E346D">
        <w:t xml:space="preserve">to TOU rates on November 1, 2012 while agricultural customers will default to TOU rates on March 1, 2013.  Customers who are already on TOU include all customers with maximum demand greater than 200 kW as well as voluntary TOU customers on A6, </w:t>
      </w:r>
      <w:r>
        <w:t xml:space="preserve">A10, </w:t>
      </w:r>
      <w:r w:rsidRPr="001E346D">
        <w:t>E19 and applicable agricultural rates.</w:t>
      </w:r>
    </w:p>
    <w:p w:rsidR="00265FED" w:rsidRPr="001E346D" w:rsidRDefault="00265FED" w:rsidP="00265FED">
      <w:pPr>
        <w:pStyle w:val="BodyBeforeBullet"/>
      </w:pPr>
      <w:r w:rsidRPr="001E346D">
        <w:t>There are several sources of uncertainty regarding incremental TOU ex ante impacts:</w:t>
      </w:r>
    </w:p>
    <w:p w:rsidR="00265FED" w:rsidRPr="001E346D" w:rsidRDefault="00265FED" w:rsidP="00265FED">
      <w:pPr>
        <w:pStyle w:val="Bullets"/>
      </w:pPr>
      <w:r w:rsidRPr="001E346D">
        <w:rPr>
          <w:i/>
        </w:rPr>
        <w:t xml:space="preserve">Future enrollments are not known with certainty. </w:t>
      </w:r>
      <w:r w:rsidRPr="001E346D">
        <w:t xml:space="preserve"> Although mandatory enrollment implies all</w:t>
      </w:r>
      <w:r w:rsidR="001F618E">
        <w:t> </w:t>
      </w:r>
      <w:r w:rsidRPr="001E346D">
        <w:t xml:space="preserve">customers, customers will first be placed on TOU rates and subsequently defaulted to CPP rates.  The CPP rates provide customers with a discount during peak periods on most summer weekdays in exchange for the ability to trigger higher prices </w:t>
      </w:r>
      <w:r>
        <w:t xml:space="preserve">for a limited number of events.  </w:t>
      </w:r>
      <w:r w:rsidRPr="001E346D">
        <w:t>How many customers will move to CPP rates is uncertain.</w:t>
      </w:r>
    </w:p>
    <w:p w:rsidR="00265FED" w:rsidRPr="001E346D" w:rsidRDefault="00265FED" w:rsidP="00265FED">
      <w:pPr>
        <w:pStyle w:val="Bullets"/>
        <w:rPr>
          <w:i/>
          <w:szCs w:val="20"/>
        </w:rPr>
      </w:pPr>
      <w:r w:rsidRPr="001E346D">
        <w:rPr>
          <w:i/>
          <w:szCs w:val="20"/>
        </w:rPr>
        <w:t xml:space="preserve">The TOU rates may change over the course of the forecast period. </w:t>
      </w:r>
      <w:r w:rsidRPr="001E346D">
        <w:rPr>
          <w:szCs w:val="20"/>
        </w:rPr>
        <w:t xml:space="preserve"> For simplicity, we assume that rates are similar to current rates over the forecast horizon.</w:t>
      </w:r>
    </w:p>
    <w:p w:rsidR="00265FED" w:rsidRPr="001E346D" w:rsidRDefault="00265FED" w:rsidP="00265FED">
      <w:pPr>
        <w:pStyle w:val="Bullets"/>
        <w:rPr>
          <w:szCs w:val="20"/>
        </w:rPr>
      </w:pPr>
      <w:r w:rsidRPr="001E346D">
        <w:rPr>
          <w:i/>
        </w:rPr>
        <w:t xml:space="preserve">The magnitude of price responsiveness is highly uncertain.  </w:t>
      </w:r>
      <w:r w:rsidRPr="001E346D">
        <w:t>While the ex</w:t>
      </w:r>
      <w:r w:rsidR="001F618E">
        <w:t xml:space="preserve"> </w:t>
      </w:r>
      <w:r w:rsidRPr="001E346D">
        <w:t>ante impacts factor</w:t>
      </w:r>
      <w:r w:rsidR="001F618E">
        <w:t> </w:t>
      </w:r>
      <w:r w:rsidRPr="001E346D">
        <w:t xml:space="preserve">in the prior empirical evidence of TOU price response, there is substantial uncertainty concerning the magnitude of those impacts.  In the eight studies summarized in the review, the estimates range widely and are not always directly comparable. </w:t>
      </w:r>
    </w:p>
    <w:p w:rsidR="00265FED" w:rsidRPr="001E346D" w:rsidRDefault="00265FED" w:rsidP="00265FED">
      <w:pPr>
        <w:pStyle w:val="Bullets"/>
        <w:rPr>
          <w:szCs w:val="20"/>
        </w:rPr>
      </w:pPr>
      <w:r w:rsidRPr="001E346D">
        <w:rPr>
          <w:i/>
        </w:rPr>
        <w:t>Prior studies do not completely reflect PG&amp;E’s implementation of TOU rates.</w:t>
      </w:r>
      <w:r w:rsidRPr="001E346D">
        <w:rPr>
          <w:szCs w:val="20"/>
        </w:rPr>
        <w:t xml:space="preserve">  There is little precedent for mandatory placement of small and medium non-residential customers on similar TOU rates as those </w:t>
      </w:r>
      <w:r w:rsidR="001F618E">
        <w:rPr>
          <w:szCs w:val="20"/>
        </w:rPr>
        <w:t>who</w:t>
      </w:r>
      <w:r w:rsidR="001F618E" w:rsidRPr="001E346D">
        <w:rPr>
          <w:szCs w:val="20"/>
        </w:rPr>
        <w:t xml:space="preserve"> </w:t>
      </w:r>
      <w:r w:rsidRPr="001E346D">
        <w:rPr>
          <w:szCs w:val="20"/>
        </w:rPr>
        <w:t>are scheduled to be implemented by PG&amp;E.  Mandatory TOU rates for small customers have been tested in pilots (mostly in the 1980s), but have not been implemented on a utility-wide scale.  While mandatory TOU rates have been implemented on a</w:t>
      </w:r>
      <w:r w:rsidR="001F618E">
        <w:rPr>
          <w:szCs w:val="20"/>
        </w:rPr>
        <w:t> </w:t>
      </w:r>
      <w:r w:rsidRPr="001E346D">
        <w:rPr>
          <w:szCs w:val="20"/>
        </w:rPr>
        <w:t xml:space="preserve">utility wide scale in a few cases, those rates have typically included time-varying demand charges and coincide with the introduction of non-coincident demand charges.  </w:t>
      </w:r>
    </w:p>
    <w:p w:rsidR="00265FED" w:rsidRPr="001E346D" w:rsidRDefault="00265FED" w:rsidP="00265FED">
      <w:pPr>
        <w:pStyle w:val="BulletLast"/>
      </w:pPr>
      <w:r w:rsidRPr="001E346D">
        <w:rPr>
          <w:i/>
        </w:rPr>
        <w:t>Prior studies of small and medium TOU have focused on short run price response.</w:t>
      </w:r>
      <w:r w:rsidRPr="001E346D">
        <w:t xml:space="preserve">  The short run price response to changes in electricity prices can differ from long run response, which can affect equipment and operation investment decisions that affect customer load shapes. </w:t>
      </w:r>
      <w:r>
        <w:t xml:space="preserve"> </w:t>
      </w:r>
      <w:r w:rsidRPr="001E346D">
        <w:t xml:space="preserve">The long impact of TOU prices for small and medium customers (over 5 years) has not been studied. </w:t>
      </w:r>
    </w:p>
    <w:p w:rsidR="00265FED" w:rsidRPr="001E346D" w:rsidRDefault="00265FED" w:rsidP="00265FED">
      <w:pPr>
        <w:pStyle w:val="BodyParagraph"/>
      </w:pPr>
      <w:r w:rsidRPr="001E346D">
        <w:t>The ex ante impacts presented here are inherently uncertain and should be viewed cautiously.  The remainder of this section describes the enrollment forecasts, the process used to develop ex ante estimates and the forecasted demand response.  Given the inherent uncertainty regarding the magnitude of mandatory TOU price response, we also conduct sensitivity analysis that shows how ex</w:t>
      </w:r>
      <w:r w:rsidR="001F618E">
        <w:t> </w:t>
      </w:r>
      <w:r w:rsidRPr="001E346D">
        <w:t xml:space="preserve">ante impacts vary per customer under different price responsiveness scenarios.  </w:t>
      </w:r>
    </w:p>
    <w:p w:rsidR="00265FED" w:rsidRPr="001E346D" w:rsidRDefault="00265FED" w:rsidP="00265FED">
      <w:pPr>
        <w:pStyle w:val="Heading2"/>
      </w:pPr>
      <w:bookmarkStart w:id="20" w:name="_Toc348688758"/>
      <w:bookmarkStart w:id="21" w:name="_Toc350519888"/>
      <w:r w:rsidRPr="00265FED">
        <w:lastRenderedPageBreak/>
        <w:t>Enrollment</w:t>
      </w:r>
      <w:r w:rsidRPr="001E346D">
        <w:t xml:space="preserve"> Forecasts</w:t>
      </w:r>
      <w:bookmarkEnd w:id="20"/>
      <w:bookmarkEnd w:id="21"/>
    </w:p>
    <w:p w:rsidR="00265FED" w:rsidRPr="001E346D" w:rsidRDefault="00265FED" w:rsidP="00265FED">
      <w:pPr>
        <w:pStyle w:val="BodyParagraph"/>
        <w:rPr>
          <w:rFonts w:cs="Arial"/>
        </w:rPr>
      </w:pPr>
      <w:r w:rsidRPr="001E346D">
        <w:rPr>
          <w:rFonts w:cs="Arial"/>
        </w:rPr>
        <w:t xml:space="preserve">All of PG&amp;E’s large customers (over 200 kW) are already on mandatory TOU rates and their impacts are embedded in system planning.  As documented in Section 3, </w:t>
      </w:r>
      <w:r w:rsidR="00033579" w:rsidRPr="001E346D">
        <w:rPr>
          <w:rFonts w:cs="Arial"/>
        </w:rPr>
        <w:t>a substantial share of PG&amp;E’s small and medium accounts ha</w:t>
      </w:r>
      <w:r w:rsidR="00033579">
        <w:rPr>
          <w:rFonts w:cs="Arial"/>
        </w:rPr>
        <w:t>s</w:t>
      </w:r>
      <w:r w:rsidRPr="001E346D">
        <w:rPr>
          <w:rFonts w:cs="Arial"/>
        </w:rPr>
        <w:t xml:space="preserve"> already enrolled on existing TOU rates on a voluntary basis.  Voluntary TOU customers account for approximately 25% of the summer consumption among SMB customers and 85% of the summer consumption of small and medium agricultural pumping accounts. </w:t>
      </w:r>
    </w:p>
    <w:p w:rsidR="00033579" w:rsidRDefault="00265FED" w:rsidP="00265FED">
      <w:pPr>
        <w:pStyle w:val="BodyParagraph"/>
      </w:pPr>
      <w:r w:rsidRPr="001E346D">
        <w:t>Enrollm</w:t>
      </w:r>
      <w:r>
        <w:t>ent estimates were developed by</w:t>
      </w:r>
      <w:r w:rsidRPr="001E346D">
        <w:t xml:space="preserve"> PG&amp;E.  Table 4-1 shows the enrollment projections for non</w:t>
      </w:r>
      <w:r w:rsidR="001F618E">
        <w:noBreakHyphen/>
      </w:r>
      <w:r w:rsidRPr="001E346D">
        <w:t>reside</w:t>
      </w:r>
      <w:r>
        <w:t>ntial TOU customers through 2023</w:t>
      </w:r>
      <w:r w:rsidRPr="001E346D">
        <w:t>, by customer size.  The enrollment forecasts take into account meter installation schedul</w:t>
      </w:r>
      <w:r w:rsidR="00F105AD">
        <w:t>es and</w:t>
      </w:r>
      <w:r w:rsidRPr="001E346D">
        <w:t xml:space="preserve"> rules regarding the implement</w:t>
      </w:r>
      <w:r w:rsidR="00F105AD">
        <w:t>ation of mandatory TOU rates</w:t>
      </w:r>
      <w:r w:rsidRPr="001E346D">
        <w:t>.  The data sources, method</w:t>
      </w:r>
      <w:r>
        <w:t>s</w:t>
      </w:r>
      <w:r w:rsidRPr="001E346D">
        <w:t xml:space="preserve"> and assumptions underlying the forecasts are documented </w:t>
      </w:r>
      <w:r>
        <w:t xml:space="preserve">by PG&amp;E.  </w:t>
      </w:r>
      <w:r w:rsidRPr="001E346D">
        <w:t>While the forecasts show a sizeable increase in TOU enrollment, it is driven by smaller accounts, which</w:t>
      </w:r>
      <w:r w:rsidR="00182842">
        <w:t> </w:t>
      </w:r>
      <w:r w:rsidRPr="001E346D">
        <w:t>do not account for a large share of the load.</w:t>
      </w:r>
    </w:p>
    <w:p w:rsidR="002B2311" w:rsidRPr="00033579" w:rsidRDefault="00D804D9" w:rsidP="00265FED">
      <w:pPr>
        <w:pStyle w:val="BodyParagraph"/>
      </w:pPr>
      <w:r w:rsidRPr="00033579">
        <w:rPr>
          <w:color w:val="000000" w:themeColor="text1"/>
        </w:rPr>
        <w:t xml:space="preserve">In November, 2012 approximately 215,000 small and medium customers were identified as having met all the requirements to transition from their flat rates to TOU rates.  Transitioning service accounts must have interval metering, at least 12 months of interval data and access to online tools.  </w:t>
      </w:r>
      <w:r w:rsidR="00A3294A" w:rsidRPr="00033579">
        <w:rPr>
          <w:color w:val="000000" w:themeColor="text1"/>
        </w:rPr>
        <w:t xml:space="preserve">Previous Non-Residential TOU Ex Ante Load Impact Reports </w:t>
      </w:r>
      <w:r w:rsidRPr="00033579">
        <w:rPr>
          <w:color w:val="000000" w:themeColor="text1"/>
        </w:rPr>
        <w:t>forecast</w:t>
      </w:r>
      <w:r w:rsidR="00A3294A" w:rsidRPr="00033579">
        <w:rPr>
          <w:color w:val="000000" w:themeColor="text1"/>
        </w:rPr>
        <w:t xml:space="preserve">ed </w:t>
      </w:r>
      <w:r w:rsidR="007716AB" w:rsidRPr="00033579">
        <w:rPr>
          <w:color w:val="000000" w:themeColor="text1"/>
        </w:rPr>
        <w:t xml:space="preserve">most of </w:t>
      </w:r>
      <w:r w:rsidR="00A3294A" w:rsidRPr="00033579">
        <w:rPr>
          <w:color w:val="000000" w:themeColor="text1"/>
        </w:rPr>
        <w:t>the enrollment growth</w:t>
      </w:r>
      <w:r w:rsidRPr="00033579">
        <w:rPr>
          <w:color w:val="000000" w:themeColor="text1"/>
        </w:rPr>
        <w:t xml:space="preserve"> to take place in 2013 only.  However, upon f</w:t>
      </w:r>
      <w:r w:rsidR="004A2935" w:rsidRPr="00033579">
        <w:rPr>
          <w:color w:val="000000" w:themeColor="text1"/>
        </w:rPr>
        <w:t>urther analysis by PG&amp;E</w:t>
      </w:r>
      <w:r w:rsidRPr="00033579">
        <w:rPr>
          <w:color w:val="000000" w:themeColor="text1"/>
        </w:rPr>
        <w:t>, there were fewer customers who had actually met all the eligibility criteria in November 2012. </w:t>
      </w:r>
      <w:r w:rsidR="004A2935" w:rsidRPr="00033579">
        <w:rPr>
          <w:color w:val="000000" w:themeColor="text1"/>
        </w:rPr>
        <w:t xml:space="preserve"> </w:t>
      </w:r>
      <w:r w:rsidRPr="00033579">
        <w:rPr>
          <w:color w:val="000000" w:themeColor="text1"/>
        </w:rPr>
        <w:t>Approximately</w:t>
      </w:r>
      <w:r w:rsidR="00407351" w:rsidRPr="00033579">
        <w:rPr>
          <w:color w:val="000000" w:themeColor="text1"/>
        </w:rPr>
        <w:t xml:space="preserve">, </w:t>
      </w:r>
      <w:r w:rsidR="00A73D0A" w:rsidRPr="00033579">
        <w:rPr>
          <w:color w:val="000000" w:themeColor="text1"/>
        </w:rPr>
        <w:t>1</w:t>
      </w:r>
      <w:r w:rsidR="00A3294A" w:rsidRPr="00033579">
        <w:rPr>
          <w:color w:val="000000" w:themeColor="text1"/>
        </w:rPr>
        <w:t xml:space="preserve">25,000 </w:t>
      </w:r>
      <w:r w:rsidRPr="00033579">
        <w:rPr>
          <w:color w:val="000000" w:themeColor="text1"/>
        </w:rPr>
        <w:t xml:space="preserve">small and medium </w:t>
      </w:r>
      <w:r w:rsidR="00A3294A" w:rsidRPr="00033579">
        <w:rPr>
          <w:color w:val="000000" w:themeColor="text1"/>
        </w:rPr>
        <w:t xml:space="preserve">customers </w:t>
      </w:r>
      <w:r w:rsidRPr="00033579">
        <w:rPr>
          <w:color w:val="000000" w:themeColor="text1"/>
        </w:rPr>
        <w:t>will meet all the eligibility requirements to allow for transition starting in November, 2013</w:t>
      </w:r>
      <w:r w:rsidR="00407351" w:rsidRPr="00033579">
        <w:rPr>
          <w:color w:val="000000" w:themeColor="text1"/>
        </w:rPr>
        <w:t>.</w:t>
      </w:r>
    </w:p>
    <w:p w:rsidR="00265FED" w:rsidRDefault="00265FED" w:rsidP="00265FED">
      <w:pPr>
        <w:pStyle w:val="TableFigureCaption"/>
      </w:pPr>
      <w:r w:rsidRPr="007F52E3">
        <w:t>Table 4-1:</w:t>
      </w:r>
      <w:r>
        <w:t xml:space="preserve"> </w:t>
      </w:r>
      <w:r w:rsidRPr="007F52E3">
        <w:t xml:space="preserve">PG&amp;E’s Enrollment Projections for Non-residential TOU </w:t>
      </w:r>
      <w:r w:rsidRPr="007F52E3">
        <w:br/>
        <w:t>by Forecast Year, Embedded vs. Incremental, Sector and Size</w:t>
      </w:r>
    </w:p>
    <w:tbl>
      <w:tblPr>
        <w:tblW w:w="8620" w:type="dxa"/>
        <w:jc w:val="center"/>
        <w:tblInd w:w="94" w:type="dxa"/>
        <w:tblLook w:val="04A0" w:firstRow="1" w:lastRow="0" w:firstColumn="1" w:lastColumn="0" w:noHBand="0" w:noVBand="1"/>
      </w:tblPr>
      <w:tblGrid>
        <w:gridCol w:w="1050"/>
        <w:gridCol w:w="778"/>
        <w:gridCol w:w="1178"/>
        <w:gridCol w:w="942"/>
        <w:gridCol w:w="942"/>
        <w:gridCol w:w="761"/>
        <w:gridCol w:w="1082"/>
        <w:gridCol w:w="1016"/>
        <w:gridCol w:w="1016"/>
      </w:tblGrid>
      <w:tr w:rsidR="00412B1E" w:rsidRPr="00412B1E" w:rsidTr="00182842">
        <w:trPr>
          <w:trHeight w:val="372"/>
          <w:jc w:val="center"/>
        </w:trPr>
        <w:tc>
          <w:tcPr>
            <w:tcW w:w="960" w:type="dxa"/>
            <w:vMerge w:val="restart"/>
            <w:tcBorders>
              <w:top w:val="single" w:sz="4" w:space="0" w:color="auto"/>
              <w:left w:val="single" w:sz="4" w:space="0" w:color="auto"/>
              <w:bottom w:val="single" w:sz="4" w:space="0" w:color="000000"/>
              <w:right w:val="single" w:sz="4" w:space="0" w:color="FFFFFF"/>
            </w:tcBorders>
            <w:shd w:val="clear" w:color="000000" w:fill="376091"/>
            <w:vAlign w:val="center"/>
            <w:hideMark/>
          </w:tcPr>
          <w:p w:rsidR="00412B1E" w:rsidRPr="00412B1E" w:rsidRDefault="00412B1E" w:rsidP="00182842">
            <w:pPr>
              <w:pStyle w:val="TableHeader"/>
              <w:rPr>
                <w:rFonts w:eastAsia="Times New Roman"/>
              </w:rPr>
            </w:pPr>
            <w:r w:rsidRPr="00412B1E">
              <w:rPr>
                <w:rFonts w:eastAsia="Times New Roman"/>
              </w:rPr>
              <w:t>Forecast Year</w:t>
            </w:r>
          </w:p>
        </w:tc>
        <w:tc>
          <w:tcPr>
            <w:tcW w:w="3840" w:type="dxa"/>
            <w:gridSpan w:val="4"/>
            <w:tcBorders>
              <w:top w:val="single" w:sz="4" w:space="0" w:color="auto"/>
              <w:left w:val="nil"/>
              <w:bottom w:val="single" w:sz="4" w:space="0" w:color="FFFFFF"/>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Embedded</w:t>
            </w:r>
          </w:p>
        </w:tc>
        <w:tc>
          <w:tcPr>
            <w:tcW w:w="3820" w:type="dxa"/>
            <w:gridSpan w:val="4"/>
            <w:tcBorders>
              <w:top w:val="single" w:sz="4" w:space="0" w:color="auto"/>
              <w:left w:val="nil"/>
              <w:bottom w:val="single" w:sz="4" w:space="0" w:color="FFFFFF"/>
              <w:right w:val="single" w:sz="4" w:space="0" w:color="000000"/>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Incremental</w:t>
            </w:r>
          </w:p>
        </w:tc>
      </w:tr>
      <w:tr w:rsidR="00412B1E" w:rsidRPr="00412B1E" w:rsidTr="00182842">
        <w:trPr>
          <w:trHeight w:val="372"/>
          <w:jc w:val="center"/>
        </w:trPr>
        <w:tc>
          <w:tcPr>
            <w:tcW w:w="960" w:type="dxa"/>
            <w:vMerge/>
            <w:tcBorders>
              <w:top w:val="single" w:sz="4" w:space="0" w:color="auto"/>
              <w:left w:val="single" w:sz="4" w:space="0" w:color="auto"/>
              <w:bottom w:val="single" w:sz="4" w:space="0" w:color="000000"/>
              <w:right w:val="single" w:sz="4" w:space="0" w:color="FFFFFF"/>
            </w:tcBorders>
            <w:vAlign w:val="center"/>
            <w:hideMark/>
          </w:tcPr>
          <w:p w:rsidR="00412B1E" w:rsidRPr="00412B1E" w:rsidRDefault="00412B1E" w:rsidP="00182842">
            <w:pPr>
              <w:pStyle w:val="TableHeader"/>
              <w:rPr>
                <w:rFonts w:eastAsia="Times New Roman"/>
              </w:rPr>
            </w:pPr>
          </w:p>
        </w:tc>
        <w:tc>
          <w:tcPr>
            <w:tcW w:w="778"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178"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942"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Small</w:t>
            </w:r>
          </w:p>
        </w:tc>
        <w:tc>
          <w:tcPr>
            <w:tcW w:w="942"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Total</w:t>
            </w:r>
          </w:p>
        </w:tc>
        <w:tc>
          <w:tcPr>
            <w:tcW w:w="706"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082"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1016"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Small</w:t>
            </w:r>
          </w:p>
        </w:tc>
        <w:tc>
          <w:tcPr>
            <w:tcW w:w="1016" w:type="dxa"/>
            <w:tcBorders>
              <w:top w:val="nil"/>
              <w:left w:val="nil"/>
              <w:bottom w:val="single" w:sz="4" w:space="0" w:color="auto"/>
              <w:right w:val="single" w:sz="4" w:space="0" w:color="auto"/>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Total</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2013</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145</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19,274</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190,780</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210,199</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2014</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169</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33,281</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351,589</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385,039</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2015</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191</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34,545</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361,911</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396,647</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2016</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189</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35,124</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366,078</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401,391</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2017</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187</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35,730</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370,261</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406,179</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2018</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186</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36,303</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374,189</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410,678</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2019</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185</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36,814</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377,807</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414,806</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2020</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184</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37,292</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381,180</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418,656</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2021</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184</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37,768</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384,526</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422,477</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2022</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183</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38,232</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387,783</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426,198</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2023</w:t>
            </w:r>
          </w:p>
        </w:tc>
        <w:tc>
          <w:tcPr>
            <w:tcW w:w="7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6,616</w:t>
            </w:r>
          </w:p>
        </w:tc>
        <w:tc>
          <w:tcPr>
            <w:tcW w:w="1178"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33,596</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58,881</w:t>
            </w:r>
          </w:p>
        </w:tc>
        <w:tc>
          <w:tcPr>
            <w:tcW w:w="94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99,093</w:t>
            </w:r>
          </w:p>
        </w:tc>
        <w:tc>
          <w:tcPr>
            <w:tcW w:w="70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183</w:t>
            </w:r>
          </w:p>
        </w:tc>
        <w:tc>
          <w:tcPr>
            <w:tcW w:w="1082"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38,678</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390,904</w:t>
            </w:r>
          </w:p>
        </w:tc>
        <w:tc>
          <w:tcPr>
            <w:tcW w:w="1016"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429,765</w:t>
            </w:r>
          </w:p>
        </w:tc>
      </w:tr>
    </w:tbl>
    <w:p w:rsidR="00265FED" w:rsidRPr="001E346D" w:rsidRDefault="00265FED" w:rsidP="00182842">
      <w:pPr>
        <w:pStyle w:val="Heading2"/>
        <w:spacing w:before="360"/>
      </w:pPr>
      <w:bookmarkStart w:id="22" w:name="_Toc326069961"/>
      <w:bookmarkStart w:id="23" w:name="_Toc348688759"/>
      <w:bookmarkStart w:id="24" w:name="_Toc350519889"/>
      <w:bookmarkEnd w:id="22"/>
      <w:r w:rsidRPr="001E346D">
        <w:lastRenderedPageBreak/>
        <w:t>Methodology</w:t>
      </w:r>
      <w:bookmarkEnd w:id="23"/>
      <w:bookmarkEnd w:id="24"/>
    </w:p>
    <w:p w:rsidR="00265FED" w:rsidRPr="001E346D" w:rsidRDefault="00265FED" w:rsidP="00265FED">
      <w:pPr>
        <w:pStyle w:val="BodyParagraph"/>
      </w:pPr>
      <w:r w:rsidRPr="001E346D">
        <w:t>The demand reduction estimates produced compare estimates of customer loads with TOU rates and flat rates.  For customers on A1 and A10 flat rates, the estimates assume customers will be placed on the counterpart TOU rate.  For customers on the agricultural rates, AG1A and AG1B, the estimates assume they will transition to AG4A and AG4B, respectively, with the implementation of mandatory TOU.  The embedded demand reductions from customers already on TOU rates were calculated by comparing the TOU rate to the corresponding flat rate, when available.  Two rates for very large customers (above 500 kW), E20 and AG5B, lack a corresponding flat rate alternative.  In those cases, we calculated a revenue neutral equivalent flat rate.</w:t>
      </w:r>
      <w:r w:rsidRPr="001E346D">
        <w:rPr>
          <w:rStyle w:val="FootnoteReference"/>
        </w:rPr>
        <w:footnoteReference w:id="5"/>
      </w:r>
    </w:p>
    <w:p w:rsidR="00265FED" w:rsidRPr="001E346D" w:rsidRDefault="00265FED" w:rsidP="00265FED">
      <w:pPr>
        <w:pStyle w:val="BodyParagraph"/>
      </w:pPr>
      <w:r w:rsidRPr="001E346D">
        <w:t xml:space="preserve">The expected changes in electricity use patterns were estimated by applying price elasticity estimates to customer load shapes adjusted for 1-in-2 and 1-in-10 weather conditions.  Estimates were developed for the average weekday and monthly peak for each month.  While the mathematics of price </w:t>
      </w:r>
      <w:proofErr w:type="spellStart"/>
      <w:r w:rsidRPr="001E346D">
        <w:t>elasticities</w:t>
      </w:r>
      <w:proofErr w:type="spellEnd"/>
      <w:r w:rsidRPr="001E346D">
        <w:t xml:space="preserve"> can seem complex to readers not trained in </w:t>
      </w:r>
      <w:r w:rsidR="00D3329E">
        <w:t>e</w:t>
      </w:r>
      <w:r w:rsidRPr="001E346D">
        <w:t xml:space="preserve">conomics, the process is fundamentally simple.  Given old usage patterns, old rates, alternate rates and estimates of price sensitivity, one can estimate the change in electricity use by rate period resulting from the transition to alternate rates. </w:t>
      </w:r>
    </w:p>
    <w:p w:rsidR="00265FED" w:rsidRPr="001E346D" w:rsidRDefault="00265FED" w:rsidP="00265FED">
      <w:pPr>
        <w:pStyle w:val="BodyParagraph"/>
      </w:pPr>
      <w:r w:rsidRPr="001E346D">
        <w:t>The impacts were calculated at the rate block level for the average hour in each rate block.  The mandatory TOU rates for large customers also include time-varying demand charges.  In contrast, for</w:t>
      </w:r>
      <w:r w:rsidR="001F618E">
        <w:t> </w:t>
      </w:r>
      <w:r w:rsidRPr="001E346D">
        <w:t xml:space="preserve">small and medium customers, the demand charges are the same under both the flat rate and TOU rate.  When time-varying demand charges were in place, we computed the equivalent kWh charges (concentrated in the same rate period) required to collect the same revenue (effective kWh).  While this practice is common, as noted earlier, it is not obvious that customers view or respond to consumption ($/kWh) and demand charges ($ per kW/month) in the same manner.  </w:t>
      </w:r>
    </w:p>
    <w:p w:rsidR="00265FED" w:rsidRPr="001E346D" w:rsidRDefault="00265FED" w:rsidP="00265FED">
      <w:pPr>
        <w:pStyle w:val="BodyParagraph"/>
      </w:pPr>
      <w:r>
        <w:t>Appendix B</w:t>
      </w:r>
      <w:r w:rsidRPr="001E346D">
        <w:t xml:space="preserve"> provides more detail about how the load shapes were standardized for 1-in-2 and 1-in-10 weather conditions.  </w:t>
      </w:r>
      <w:r>
        <w:t>Appendix C</w:t>
      </w:r>
      <w:r w:rsidRPr="001E346D">
        <w:t xml:space="preserve"> includes the effective kWh prices, by rate period, for the rates that have time-varying demand charges.  Appendix </w:t>
      </w:r>
      <w:r>
        <w:t>D</w:t>
      </w:r>
      <w:r w:rsidRPr="001E346D">
        <w:t xml:space="preserve"> provides more details about how the price </w:t>
      </w:r>
      <w:proofErr w:type="spellStart"/>
      <w:r w:rsidRPr="001E346D">
        <w:t>elasticities</w:t>
      </w:r>
      <w:proofErr w:type="spellEnd"/>
      <w:r w:rsidRPr="001E346D">
        <w:t xml:space="preserve"> were applied.  </w:t>
      </w:r>
    </w:p>
    <w:p w:rsidR="00265FED" w:rsidRPr="001E346D" w:rsidRDefault="00265FED" w:rsidP="00265FED">
      <w:pPr>
        <w:pStyle w:val="BodyParagraph"/>
      </w:pPr>
      <w:r w:rsidRPr="001E346D">
        <w:t xml:space="preserve">Table 4-2 summarizes the price </w:t>
      </w:r>
      <w:proofErr w:type="spellStart"/>
      <w:r w:rsidR="001F618E" w:rsidRPr="001E346D">
        <w:t>elasticities</w:t>
      </w:r>
      <w:proofErr w:type="spellEnd"/>
      <w:r w:rsidRPr="001E346D">
        <w:t xml:space="preserve"> used for each customer class, by size, and the uncertainty range applied.  For C&amp;I transition</w:t>
      </w:r>
      <w:r w:rsidR="00F105AD">
        <w:t>ing</w:t>
      </w:r>
      <w:r w:rsidRPr="001E346D">
        <w:t xml:space="preserve"> to mandatory rates, the price </w:t>
      </w:r>
      <w:proofErr w:type="spellStart"/>
      <w:r w:rsidRPr="001E346D">
        <w:t>elasticities</w:t>
      </w:r>
      <w:proofErr w:type="spellEnd"/>
      <w:r w:rsidRPr="001E346D">
        <w:t xml:space="preserve"> used factor in the empirical evidence of price response to mandatory TOU pricing in the relevant literature.  </w:t>
      </w:r>
    </w:p>
    <w:p w:rsidR="00265FED" w:rsidRPr="001E346D" w:rsidRDefault="00265FED" w:rsidP="00265FED">
      <w:pPr>
        <w:pStyle w:val="BodyParagraph"/>
      </w:pPr>
      <w:r w:rsidRPr="001E346D">
        <w:t xml:space="preserve">For C&amp;I customers already on TOU rates, whose impacts are embedded, we use price </w:t>
      </w:r>
      <w:proofErr w:type="spellStart"/>
      <w:r w:rsidRPr="001E346D">
        <w:t>elasticities</w:t>
      </w:r>
      <w:proofErr w:type="spellEnd"/>
      <w:r w:rsidRPr="001E346D">
        <w:t xml:space="preserve"> that are a third of the value resulting from the analysis of the existing TOU rates.  This is intentional.  As noted earlier, while the analysis eliminated a number of potential explanations for differences in load shapes between customers on TOU rates and those on flat rates, without pre-enrollment data the method used cannot guarantee that systematic differences between the TOU and control groups were not pre-existing. </w:t>
      </w:r>
    </w:p>
    <w:p w:rsidR="00265FED" w:rsidRPr="001E346D" w:rsidRDefault="00265FED" w:rsidP="00265FED">
      <w:pPr>
        <w:pStyle w:val="BodyParagraph"/>
      </w:pPr>
      <w:r w:rsidRPr="001E346D">
        <w:lastRenderedPageBreak/>
        <w:t xml:space="preserve">Price responsiveness estimates in the literature for small and medium business mandatory TOU rates vary substantially.  The values used are well within the range found in the literature and reflect the range of results observed in those studies.  Note that the uncertainty bands for small and medium C&amp;I customers placed on TOU rates on a mandatory basis include the potential that no price response is observed.  That is, the low end of the range is zero.  There were no relevant studies of price response with mandatory TOU for small and medium agricultural customers.  As a result, we use the estimates of price responsiveness developed in the analysis of PG&amp;E’s existing TOU rates and lower them to one third of the initial estimate.  The downward adjustment was applied for two reasons.  First, without pre-enrollment data, it is not plausible to entirely attribute the differences in electricity use patterns </w:t>
      </w:r>
      <w:r w:rsidR="00207C71">
        <w:t>to</w:t>
      </w:r>
      <w:r w:rsidR="00182842">
        <w:t> </w:t>
      </w:r>
      <w:r w:rsidR="00207C71">
        <w:t>TOU pricing</w:t>
      </w:r>
      <w:r w:rsidRPr="001E346D">
        <w:t>.  Second, even if due to the TOU rates, the differences observed were for customers who elected to enroll on TOU rates.  These customers are likely to be more price responsive than customers placed on TOU on a mandatory basis.</w:t>
      </w:r>
    </w:p>
    <w:p w:rsidR="00265FED" w:rsidRPr="001E346D" w:rsidRDefault="00265FED" w:rsidP="00265FED">
      <w:pPr>
        <w:pStyle w:val="TableFigureCaption"/>
      </w:pPr>
      <w:r w:rsidRPr="001E346D">
        <w:t>Table 4-2:</w:t>
      </w:r>
      <w:r>
        <w:t xml:space="preserve"> </w:t>
      </w:r>
      <w:r w:rsidRPr="001E346D">
        <w:t xml:space="preserve">Price </w:t>
      </w:r>
      <w:proofErr w:type="spellStart"/>
      <w:r w:rsidRPr="001E346D">
        <w:t>Elasticities</w:t>
      </w:r>
      <w:proofErr w:type="spellEnd"/>
      <w:r w:rsidRPr="001E346D">
        <w:t xml:space="preserve"> and Uncertainty Used for Ex Ante Impacts</w:t>
      </w:r>
    </w:p>
    <w:tbl>
      <w:tblPr>
        <w:tblW w:w="9420" w:type="dxa"/>
        <w:tblInd w:w="95" w:type="dxa"/>
        <w:tblLook w:val="04A0" w:firstRow="1" w:lastRow="0" w:firstColumn="1" w:lastColumn="0" w:noHBand="0" w:noVBand="1"/>
      </w:tblPr>
      <w:tblGrid>
        <w:gridCol w:w="1280"/>
        <w:gridCol w:w="1160"/>
        <w:gridCol w:w="1220"/>
        <w:gridCol w:w="960"/>
        <w:gridCol w:w="960"/>
        <w:gridCol w:w="960"/>
        <w:gridCol w:w="894"/>
        <w:gridCol w:w="1093"/>
        <w:gridCol w:w="893"/>
      </w:tblGrid>
      <w:tr w:rsidR="00265FED" w:rsidRPr="001E346D" w:rsidTr="00265FED">
        <w:trPr>
          <w:trHeight w:val="288"/>
        </w:trPr>
        <w:tc>
          <w:tcPr>
            <w:tcW w:w="1280" w:type="dxa"/>
            <w:vMerge w:val="restart"/>
            <w:tcBorders>
              <w:top w:val="single" w:sz="4" w:space="0" w:color="000000"/>
              <w:left w:val="single" w:sz="4" w:space="0" w:color="000000"/>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Type of Impacts</w:t>
            </w:r>
          </w:p>
        </w:tc>
        <w:tc>
          <w:tcPr>
            <w:tcW w:w="1160" w:type="dxa"/>
            <w:vMerge w:val="restart"/>
            <w:tcBorders>
              <w:top w:val="single" w:sz="4" w:space="0" w:color="000000"/>
              <w:left w:val="single" w:sz="4" w:space="0" w:color="FFFFFF"/>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Enrollment</w:t>
            </w:r>
          </w:p>
        </w:tc>
        <w:tc>
          <w:tcPr>
            <w:tcW w:w="1220" w:type="dxa"/>
            <w:vMerge w:val="restart"/>
            <w:tcBorders>
              <w:top w:val="single" w:sz="4" w:space="0" w:color="000000"/>
              <w:left w:val="single" w:sz="4" w:space="0" w:color="FFFFFF"/>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Rate</w:t>
            </w:r>
          </w:p>
        </w:tc>
        <w:tc>
          <w:tcPr>
            <w:tcW w:w="2880" w:type="dxa"/>
            <w:gridSpan w:val="3"/>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Elasticity of Substitution</w:t>
            </w:r>
          </w:p>
        </w:tc>
        <w:tc>
          <w:tcPr>
            <w:tcW w:w="2880" w:type="dxa"/>
            <w:gridSpan w:val="3"/>
            <w:tcBorders>
              <w:top w:val="single" w:sz="4" w:space="0" w:color="000000"/>
              <w:left w:val="nil"/>
              <w:bottom w:val="single" w:sz="4" w:space="0" w:color="FFFFFF"/>
              <w:right w:val="single" w:sz="4" w:space="0" w:color="000000"/>
            </w:tcBorders>
            <w:shd w:val="clear" w:color="000000" w:fill="1F497D"/>
            <w:noWrap/>
            <w:tcMar>
              <w:left w:w="43" w:type="dxa"/>
              <w:right w:w="43" w:type="dxa"/>
            </w:tcMar>
            <w:vAlign w:val="center"/>
            <w:hideMark/>
          </w:tcPr>
          <w:p w:rsidR="00265FED" w:rsidRPr="00182842" w:rsidRDefault="00265FED" w:rsidP="00182842">
            <w:pPr>
              <w:pStyle w:val="TableHeader"/>
            </w:pPr>
            <w:r w:rsidRPr="00182842">
              <w:t>Daily Price</w:t>
            </w:r>
          </w:p>
        </w:tc>
      </w:tr>
      <w:tr w:rsidR="00265FED" w:rsidRPr="001E346D" w:rsidTr="00265FED">
        <w:trPr>
          <w:trHeight w:val="288"/>
        </w:trPr>
        <w:tc>
          <w:tcPr>
            <w:tcW w:w="1280" w:type="dxa"/>
            <w:vMerge/>
            <w:tcBorders>
              <w:top w:val="single" w:sz="4" w:space="0" w:color="000000"/>
              <w:left w:val="single" w:sz="4" w:space="0" w:color="000000"/>
              <w:bottom w:val="nil"/>
              <w:right w:val="single" w:sz="4" w:space="0" w:color="FFFFFF"/>
            </w:tcBorders>
            <w:tcMar>
              <w:left w:w="43" w:type="dxa"/>
              <w:right w:w="43" w:type="dxa"/>
            </w:tcMar>
            <w:vAlign w:val="center"/>
            <w:hideMark/>
          </w:tcPr>
          <w:p w:rsidR="00265FED" w:rsidRPr="00182842" w:rsidRDefault="00265FED" w:rsidP="00182842">
            <w:pPr>
              <w:pStyle w:val="TableHeader"/>
            </w:pPr>
          </w:p>
        </w:tc>
        <w:tc>
          <w:tcPr>
            <w:tcW w:w="1160" w:type="dxa"/>
            <w:vMerge/>
            <w:tcBorders>
              <w:top w:val="single" w:sz="4" w:space="0" w:color="000000"/>
              <w:left w:val="single" w:sz="4" w:space="0" w:color="FFFFFF"/>
              <w:bottom w:val="nil"/>
              <w:right w:val="single" w:sz="4" w:space="0" w:color="FFFFFF"/>
            </w:tcBorders>
            <w:tcMar>
              <w:left w:w="43" w:type="dxa"/>
              <w:right w:w="43" w:type="dxa"/>
            </w:tcMar>
            <w:vAlign w:val="center"/>
            <w:hideMark/>
          </w:tcPr>
          <w:p w:rsidR="00265FED" w:rsidRPr="00182842" w:rsidRDefault="00265FED" w:rsidP="00182842">
            <w:pPr>
              <w:pStyle w:val="TableHeader"/>
            </w:pPr>
          </w:p>
        </w:tc>
        <w:tc>
          <w:tcPr>
            <w:tcW w:w="1220" w:type="dxa"/>
            <w:vMerge/>
            <w:tcBorders>
              <w:top w:val="single" w:sz="4" w:space="0" w:color="000000"/>
              <w:left w:val="single" w:sz="4" w:space="0" w:color="FFFFFF"/>
              <w:bottom w:val="nil"/>
              <w:right w:val="single" w:sz="4" w:space="0" w:color="FFFFFF"/>
            </w:tcBorders>
            <w:tcMar>
              <w:left w:w="43" w:type="dxa"/>
              <w:right w:w="43" w:type="dxa"/>
            </w:tcMar>
            <w:vAlign w:val="center"/>
            <w:hideMark/>
          </w:tcPr>
          <w:p w:rsidR="00265FED" w:rsidRPr="00182842" w:rsidRDefault="00265FED" w:rsidP="00182842">
            <w:pPr>
              <w:pStyle w:val="TableHeader"/>
            </w:pPr>
          </w:p>
        </w:tc>
        <w:tc>
          <w:tcPr>
            <w:tcW w:w="960" w:type="dxa"/>
            <w:tcBorders>
              <w:top w:val="nil"/>
              <w:left w:val="nil"/>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p10</w:t>
            </w:r>
          </w:p>
        </w:tc>
        <w:tc>
          <w:tcPr>
            <w:tcW w:w="960" w:type="dxa"/>
            <w:tcBorders>
              <w:top w:val="nil"/>
              <w:left w:val="nil"/>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Median</w:t>
            </w:r>
          </w:p>
        </w:tc>
        <w:tc>
          <w:tcPr>
            <w:tcW w:w="960" w:type="dxa"/>
            <w:tcBorders>
              <w:top w:val="nil"/>
              <w:left w:val="nil"/>
              <w:bottom w:val="nil"/>
              <w:right w:val="single" w:sz="4" w:space="0" w:color="FFFFFF"/>
            </w:tcBorders>
            <w:shd w:val="clear" w:color="000000" w:fill="1F497D"/>
            <w:tcMar>
              <w:left w:w="43" w:type="dxa"/>
              <w:right w:w="43" w:type="dxa"/>
            </w:tcMar>
            <w:vAlign w:val="center"/>
            <w:hideMark/>
          </w:tcPr>
          <w:p w:rsidR="00265FED" w:rsidRPr="00182842" w:rsidRDefault="00265FED" w:rsidP="00182842">
            <w:pPr>
              <w:pStyle w:val="TableHeader"/>
            </w:pPr>
            <w:r w:rsidRPr="00182842">
              <w:t>p90</w:t>
            </w:r>
          </w:p>
        </w:tc>
        <w:tc>
          <w:tcPr>
            <w:tcW w:w="894" w:type="dxa"/>
            <w:tcBorders>
              <w:top w:val="nil"/>
              <w:left w:val="nil"/>
              <w:bottom w:val="nil"/>
              <w:right w:val="single" w:sz="4" w:space="0" w:color="FFFFFF"/>
            </w:tcBorders>
            <w:shd w:val="clear" w:color="000000" w:fill="1F497D"/>
            <w:noWrap/>
            <w:tcMar>
              <w:left w:w="43" w:type="dxa"/>
              <w:right w:w="43" w:type="dxa"/>
            </w:tcMar>
            <w:vAlign w:val="center"/>
            <w:hideMark/>
          </w:tcPr>
          <w:p w:rsidR="00265FED" w:rsidRPr="00182842" w:rsidRDefault="00265FED" w:rsidP="00182842">
            <w:pPr>
              <w:pStyle w:val="TableHeader"/>
            </w:pPr>
            <w:r w:rsidRPr="00182842">
              <w:t>p10</w:t>
            </w:r>
          </w:p>
        </w:tc>
        <w:tc>
          <w:tcPr>
            <w:tcW w:w="1093" w:type="dxa"/>
            <w:tcBorders>
              <w:top w:val="nil"/>
              <w:left w:val="nil"/>
              <w:bottom w:val="nil"/>
              <w:right w:val="single" w:sz="4" w:space="0" w:color="FFFFFF"/>
            </w:tcBorders>
            <w:shd w:val="clear" w:color="000000" w:fill="1F497D"/>
            <w:noWrap/>
            <w:tcMar>
              <w:left w:w="43" w:type="dxa"/>
              <w:right w:w="43" w:type="dxa"/>
            </w:tcMar>
            <w:vAlign w:val="center"/>
            <w:hideMark/>
          </w:tcPr>
          <w:p w:rsidR="00265FED" w:rsidRPr="00182842" w:rsidRDefault="00265FED" w:rsidP="00182842">
            <w:pPr>
              <w:pStyle w:val="TableHeader"/>
            </w:pPr>
            <w:r w:rsidRPr="00182842">
              <w:t>Median</w:t>
            </w:r>
          </w:p>
        </w:tc>
        <w:tc>
          <w:tcPr>
            <w:tcW w:w="893" w:type="dxa"/>
            <w:tcBorders>
              <w:top w:val="nil"/>
              <w:left w:val="nil"/>
              <w:bottom w:val="nil"/>
              <w:right w:val="single" w:sz="4" w:space="0" w:color="000000"/>
            </w:tcBorders>
            <w:shd w:val="clear" w:color="000000" w:fill="1F497D"/>
            <w:noWrap/>
            <w:tcMar>
              <w:left w:w="43" w:type="dxa"/>
              <w:right w:w="43" w:type="dxa"/>
            </w:tcMar>
            <w:vAlign w:val="center"/>
            <w:hideMark/>
          </w:tcPr>
          <w:p w:rsidR="00265FED" w:rsidRPr="00182842" w:rsidRDefault="00265FED" w:rsidP="00182842">
            <w:pPr>
              <w:pStyle w:val="TableHeader"/>
            </w:pPr>
            <w:r w:rsidRPr="00182842">
              <w:t>p90</w:t>
            </w:r>
          </w:p>
        </w:tc>
      </w:tr>
      <w:tr w:rsidR="00265FED" w:rsidRPr="001E346D" w:rsidTr="00265FED">
        <w:trPr>
          <w:trHeight w:val="399"/>
        </w:trPr>
        <w:tc>
          <w:tcPr>
            <w:tcW w:w="1280" w:type="dxa"/>
            <w:vMerge w:val="restart"/>
            <w:tcBorders>
              <w:top w:val="single" w:sz="4" w:space="0" w:color="auto"/>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Embedded</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265FED" w:rsidRPr="00182842" w:rsidRDefault="00265FED" w:rsidP="00182842">
            <w:pPr>
              <w:pStyle w:val="TableText"/>
            </w:pPr>
            <w:r w:rsidRPr="00182842">
              <w:t>Mandatory</w:t>
            </w:r>
          </w:p>
        </w:tc>
        <w:tc>
          <w:tcPr>
            <w:tcW w:w="122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E20</w:t>
            </w:r>
          </w:p>
        </w:tc>
        <w:tc>
          <w:tcPr>
            <w:tcW w:w="96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0.050</w:t>
            </w:r>
          </w:p>
        </w:tc>
        <w:tc>
          <w:tcPr>
            <w:tcW w:w="96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E19</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0.050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A10X</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0.050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AG5B</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0.140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AG5A</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0.090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0.140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val="restar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Voluntary</w:t>
            </w: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E19V</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0.033</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A6</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A10X</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0.033</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AG4A</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0.107</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0.193</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AG4B</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0.073</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0.127</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AG5A</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0.090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0.160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AG5B</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0.050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val="restar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Incremental</w:t>
            </w:r>
          </w:p>
        </w:tc>
        <w:tc>
          <w:tcPr>
            <w:tcW w:w="1160" w:type="dxa"/>
            <w:vMerge w:val="restar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Mandatory</w:t>
            </w: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A1X</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0.000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0.060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A10X</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0.000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0.060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1E346D" w:rsidTr="00265FED">
        <w:trPr>
          <w:trHeight w:val="399"/>
        </w:trPr>
        <w:tc>
          <w:tcPr>
            <w:tcW w:w="128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AG1A</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0.000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0.160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r w:rsidR="00265FED" w:rsidRPr="005D28E5" w:rsidTr="00265FED">
        <w:trPr>
          <w:trHeight w:val="399"/>
        </w:trPr>
        <w:tc>
          <w:tcPr>
            <w:tcW w:w="128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160" w:type="dxa"/>
            <w:vMerge/>
            <w:tcBorders>
              <w:top w:val="nil"/>
              <w:left w:val="single" w:sz="4" w:space="0" w:color="auto"/>
              <w:bottom w:val="single" w:sz="4" w:space="0" w:color="auto"/>
              <w:right w:val="single" w:sz="4" w:space="0" w:color="auto"/>
            </w:tcBorders>
            <w:tcMar>
              <w:left w:w="43" w:type="dxa"/>
              <w:right w:w="43" w:type="dxa"/>
            </w:tcMar>
            <w:vAlign w:val="center"/>
            <w:hideMark/>
          </w:tcPr>
          <w:p w:rsidR="00265FED" w:rsidRPr="00182842" w:rsidRDefault="00265FED" w:rsidP="00182842">
            <w:pPr>
              <w:pStyle w:val="TableText"/>
            </w:pPr>
          </w:p>
        </w:tc>
        <w:tc>
          <w:tcPr>
            <w:tcW w:w="12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AG1B</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0.000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0.080</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0.160</w:t>
            </w:r>
          </w:p>
        </w:tc>
        <w:tc>
          <w:tcPr>
            <w:tcW w:w="89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-0.010</w:t>
            </w:r>
          </w:p>
        </w:tc>
        <w:tc>
          <w:tcPr>
            <w:tcW w:w="10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-0.020</w:t>
            </w:r>
          </w:p>
        </w:tc>
        <w:tc>
          <w:tcPr>
            <w:tcW w:w="89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265FED" w:rsidRPr="00182842" w:rsidRDefault="00265FED" w:rsidP="00182842">
            <w:pPr>
              <w:pStyle w:val="TableText"/>
            </w:pPr>
            <w:r w:rsidRPr="00182842">
              <w:t>-0.030</w:t>
            </w:r>
          </w:p>
        </w:tc>
      </w:tr>
    </w:tbl>
    <w:p w:rsidR="00265FED" w:rsidRPr="009A7E83" w:rsidRDefault="00265FED" w:rsidP="00265FED">
      <w:pPr>
        <w:pStyle w:val="Heading2"/>
        <w:spacing w:before="360"/>
      </w:pPr>
      <w:bookmarkStart w:id="25" w:name="_Toc348688760"/>
      <w:bookmarkStart w:id="26" w:name="_Toc350519890"/>
      <w:r w:rsidRPr="009A7E83">
        <w:t>Results</w:t>
      </w:r>
      <w:bookmarkEnd w:id="25"/>
      <w:bookmarkEnd w:id="26"/>
    </w:p>
    <w:p w:rsidR="00265FED" w:rsidRPr="009A7E83" w:rsidRDefault="00265FED" w:rsidP="00265FED">
      <w:pPr>
        <w:pStyle w:val="BodyParagraph"/>
      </w:pPr>
      <w:r w:rsidRPr="009A7E83">
        <w:t xml:space="preserve">Table 4-3 summarizes the estimated load impacts by customer size and sector for the August monthly peak under 1-in-2 weather year conditions.  The table lists both the incremental and embedded </w:t>
      </w:r>
      <w:r w:rsidRPr="009A7E83">
        <w:lastRenderedPageBreak/>
        <w:t>impacts from the implementation of mandatory TOU.  The uncertainty estimates incorporate the assumptions about uncertainty in price responsiveness described in Table 4-2 and the uncertainty in</w:t>
      </w:r>
      <w:r w:rsidR="001F618E">
        <w:t> </w:t>
      </w:r>
      <w:r>
        <w:t xml:space="preserve">enrollment forecasts.  </w:t>
      </w:r>
      <w:r w:rsidRPr="009A7E83">
        <w:t>The changes in the estimated demand reductions follow the</w:t>
      </w:r>
      <w:r>
        <w:t xml:space="preserve"> wide-scale</w:t>
      </w:r>
      <w:r w:rsidRPr="009A7E83">
        <w:t xml:space="preserve"> implementation of mandatory TOU for C&amp;I customers in 2013 and 2014. </w:t>
      </w:r>
    </w:p>
    <w:p w:rsidR="00265FED" w:rsidRDefault="00265FED" w:rsidP="00265FED">
      <w:pPr>
        <w:pStyle w:val="BodyParagraph"/>
      </w:pPr>
      <w:r w:rsidRPr="009A7E83">
        <w:t xml:space="preserve">The incremental </w:t>
      </w:r>
      <w:r>
        <w:t>load impacts illustrate the impact of</w:t>
      </w:r>
      <w:r w:rsidRPr="009A7E83">
        <w:t xml:space="preserve"> defaulting of new and existing customers onto TOU rates. </w:t>
      </w:r>
      <w:r>
        <w:t xml:space="preserve"> </w:t>
      </w:r>
      <w:r w:rsidRPr="009A7E83">
        <w:t>The aggregate incremental load impacts are predicted to be small, by virtue of the TOU rate</w:t>
      </w:r>
      <w:r>
        <w:t>s</w:t>
      </w:r>
      <w:r w:rsidRPr="009A7E83">
        <w:t xml:space="preserve">.  </w:t>
      </w:r>
      <w:r w:rsidRPr="00BF4C51">
        <w:t>The total incr</w:t>
      </w:r>
      <w:r w:rsidR="00412B1E">
        <w:t>emental TOU impacts range from 7.1 MW in 2013 to 12.0</w:t>
      </w:r>
      <w:r w:rsidRPr="00BF4C51">
        <w:t xml:space="preserve"> MW in 2023.</w:t>
      </w:r>
      <w:r w:rsidRPr="009A7E83">
        <w:t xml:space="preserve">  Embedded impacts are already accounted for in planning, because they are embedded in the current</w:t>
      </w:r>
      <w:r w:rsidR="00182842">
        <w:t> </w:t>
      </w:r>
      <w:r w:rsidRPr="009A7E83">
        <w:t xml:space="preserve">system load, so they are of secondary interest.  </w:t>
      </w:r>
      <w:r w:rsidRPr="00BF4C51">
        <w:t>Estimates of embedded impacts are a constant 168.9 MW for the years 2013-2023.</w:t>
      </w:r>
    </w:p>
    <w:p w:rsidR="00265FED" w:rsidRPr="004B4939" w:rsidRDefault="00265FED" w:rsidP="00265FED">
      <w:pPr>
        <w:pStyle w:val="TableFigureCaption"/>
        <w:contextualSpacing/>
      </w:pPr>
      <w:r>
        <w:t xml:space="preserve">Table 4-3: </w:t>
      </w:r>
      <w:r w:rsidRPr="004B4939">
        <w:t>Aggregate Embedded and Incremental TOU Load Impacts (MW) by Year</w:t>
      </w:r>
    </w:p>
    <w:p w:rsidR="00265FED" w:rsidRDefault="00265FED" w:rsidP="00265FED">
      <w:pPr>
        <w:pStyle w:val="TableFigureCaption"/>
        <w:contextualSpacing/>
      </w:pPr>
      <w:r w:rsidRPr="004B4939">
        <w:t>August Monthly Peak with 1-in-2 Weather Year Conditions</w:t>
      </w:r>
    </w:p>
    <w:tbl>
      <w:tblPr>
        <w:tblW w:w="8620" w:type="dxa"/>
        <w:jc w:val="center"/>
        <w:tblInd w:w="94" w:type="dxa"/>
        <w:tblLook w:val="04A0" w:firstRow="1" w:lastRow="0" w:firstColumn="1" w:lastColumn="0" w:noHBand="0" w:noVBand="1"/>
      </w:tblPr>
      <w:tblGrid>
        <w:gridCol w:w="1050"/>
        <w:gridCol w:w="835"/>
        <w:gridCol w:w="1261"/>
        <w:gridCol w:w="910"/>
        <w:gridCol w:w="834"/>
        <w:gridCol w:w="833"/>
        <w:gridCol w:w="1277"/>
        <w:gridCol w:w="921"/>
        <w:gridCol w:w="789"/>
      </w:tblGrid>
      <w:tr w:rsidR="00412B1E" w:rsidRPr="00412B1E" w:rsidTr="00412B1E">
        <w:trPr>
          <w:trHeight w:val="360"/>
          <w:jc w:val="center"/>
        </w:trPr>
        <w:tc>
          <w:tcPr>
            <w:tcW w:w="960" w:type="dxa"/>
            <w:vMerge w:val="restart"/>
            <w:tcBorders>
              <w:top w:val="single" w:sz="4" w:space="0" w:color="auto"/>
              <w:left w:val="single" w:sz="4" w:space="0" w:color="auto"/>
              <w:bottom w:val="single" w:sz="4" w:space="0" w:color="000000"/>
              <w:right w:val="single" w:sz="4" w:space="0" w:color="FFFFFF"/>
            </w:tcBorders>
            <w:shd w:val="clear" w:color="000000" w:fill="376091"/>
            <w:vAlign w:val="center"/>
            <w:hideMark/>
          </w:tcPr>
          <w:p w:rsidR="00412B1E" w:rsidRPr="00412B1E" w:rsidRDefault="00412B1E" w:rsidP="00182842">
            <w:pPr>
              <w:pStyle w:val="TableHeader"/>
              <w:rPr>
                <w:rFonts w:eastAsia="Times New Roman"/>
              </w:rPr>
            </w:pPr>
            <w:r w:rsidRPr="00412B1E">
              <w:rPr>
                <w:rFonts w:eastAsia="Times New Roman"/>
              </w:rPr>
              <w:t>Forecast Year</w:t>
            </w:r>
          </w:p>
        </w:tc>
        <w:tc>
          <w:tcPr>
            <w:tcW w:w="3840" w:type="dxa"/>
            <w:gridSpan w:val="4"/>
            <w:tcBorders>
              <w:top w:val="single" w:sz="4" w:space="0" w:color="auto"/>
              <w:left w:val="nil"/>
              <w:bottom w:val="single" w:sz="4" w:space="0" w:color="FFFFFF"/>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 xml:space="preserve">Embedded </w:t>
            </w:r>
          </w:p>
        </w:tc>
        <w:tc>
          <w:tcPr>
            <w:tcW w:w="3820" w:type="dxa"/>
            <w:gridSpan w:val="4"/>
            <w:tcBorders>
              <w:top w:val="single" w:sz="4" w:space="0" w:color="auto"/>
              <w:left w:val="nil"/>
              <w:bottom w:val="single" w:sz="4" w:space="0" w:color="FFFFFF"/>
              <w:right w:val="single" w:sz="4" w:space="0" w:color="000000"/>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Incremental</w:t>
            </w:r>
          </w:p>
        </w:tc>
      </w:tr>
      <w:tr w:rsidR="00412B1E" w:rsidRPr="00412B1E" w:rsidTr="00412B1E">
        <w:trPr>
          <w:trHeight w:val="360"/>
          <w:jc w:val="center"/>
        </w:trPr>
        <w:tc>
          <w:tcPr>
            <w:tcW w:w="960" w:type="dxa"/>
            <w:vMerge/>
            <w:tcBorders>
              <w:top w:val="single" w:sz="4" w:space="0" w:color="auto"/>
              <w:left w:val="single" w:sz="4" w:space="0" w:color="auto"/>
              <w:bottom w:val="single" w:sz="4" w:space="0" w:color="000000"/>
              <w:right w:val="single" w:sz="4" w:space="0" w:color="FFFFFF"/>
            </w:tcBorders>
            <w:vAlign w:val="center"/>
            <w:hideMark/>
          </w:tcPr>
          <w:p w:rsidR="00412B1E" w:rsidRPr="00412B1E" w:rsidRDefault="00412B1E" w:rsidP="00182842">
            <w:pPr>
              <w:pStyle w:val="TableHeader"/>
              <w:rPr>
                <w:rFonts w:eastAsia="Times New Roman"/>
              </w:rPr>
            </w:pPr>
          </w:p>
        </w:tc>
        <w:tc>
          <w:tcPr>
            <w:tcW w:w="835"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261"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910"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 xml:space="preserve"> Small</w:t>
            </w:r>
          </w:p>
        </w:tc>
        <w:tc>
          <w:tcPr>
            <w:tcW w:w="834"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Total</w:t>
            </w:r>
          </w:p>
        </w:tc>
        <w:tc>
          <w:tcPr>
            <w:tcW w:w="833"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Large</w:t>
            </w:r>
          </w:p>
        </w:tc>
        <w:tc>
          <w:tcPr>
            <w:tcW w:w="1277"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Medium</w:t>
            </w:r>
          </w:p>
        </w:tc>
        <w:tc>
          <w:tcPr>
            <w:tcW w:w="921" w:type="dxa"/>
            <w:tcBorders>
              <w:top w:val="nil"/>
              <w:left w:val="nil"/>
              <w:bottom w:val="single" w:sz="4" w:space="0" w:color="auto"/>
              <w:right w:val="single" w:sz="4" w:space="0" w:color="FFFFFF"/>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 xml:space="preserve"> Small</w:t>
            </w:r>
          </w:p>
        </w:tc>
        <w:tc>
          <w:tcPr>
            <w:tcW w:w="789" w:type="dxa"/>
            <w:tcBorders>
              <w:top w:val="nil"/>
              <w:left w:val="nil"/>
              <w:bottom w:val="single" w:sz="4" w:space="0" w:color="auto"/>
              <w:right w:val="single" w:sz="4" w:space="0" w:color="auto"/>
            </w:tcBorders>
            <w:shd w:val="clear" w:color="000000" w:fill="376091"/>
            <w:noWrap/>
            <w:vAlign w:val="center"/>
            <w:hideMark/>
          </w:tcPr>
          <w:p w:rsidR="00412B1E" w:rsidRPr="00412B1E" w:rsidRDefault="00412B1E" w:rsidP="00182842">
            <w:pPr>
              <w:pStyle w:val="TableHeader"/>
              <w:rPr>
                <w:rFonts w:eastAsia="Times New Roman"/>
              </w:rPr>
            </w:pPr>
            <w:r w:rsidRPr="00412B1E">
              <w:rPr>
                <w:rFonts w:eastAsia="Times New Roman"/>
              </w:rPr>
              <w:t>Total</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2013</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2.9</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2.5</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1.7</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7.1</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2014</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3.2</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4.3</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3.3</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10.8</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2015</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4.5</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11.3</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2016</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4.6</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11.4</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2017</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4.6</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11.5</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2018</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4.7</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11.6</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2019</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4.8</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11.7</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2020</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4.8</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3.5</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11.8</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2021</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4.9</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11.8</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2022</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5.0</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11.9</w:t>
            </w:r>
          </w:p>
        </w:tc>
      </w:tr>
      <w:tr w:rsidR="00412B1E" w:rsidRPr="00412B1E" w:rsidTr="00412B1E">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2023</w:t>
            </w:r>
          </w:p>
        </w:tc>
        <w:tc>
          <w:tcPr>
            <w:tcW w:w="835"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128.0</w:t>
            </w:r>
          </w:p>
        </w:tc>
        <w:tc>
          <w:tcPr>
            <w:tcW w:w="126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31.9</w:t>
            </w:r>
          </w:p>
        </w:tc>
        <w:tc>
          <w:tcPr>
            <w:tcW w:w="910"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9.0</w:t>
            </w:r>
          </w:p>
        </w:tc>
        <w:tc>
          <w:tcPr>
            <w:tcW w:w="834"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168.9</w:t>
            </w:r>
          </w:p>
        </w:tc>
        <w:tc>
          <w:tcPr>
            <w:tcW w:w="833"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3.4</w:t>
            </w:r>
          </w:p>
        </w:tc>
        <w:tc>
          <w:tcPr>
            <w:tcW w:w="1277"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5.0</w:t>
            </w:r>
          </w:p>
        </w:tc>
        <w:tc>
          <w:tcPr>
            <w:tcW w:w="921"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3.6</w:t>
            </w:r>
          </w:p>
        </w:tc>
        <w:tc>
          <w:tcPr>
            <w:tcW w:w="789" w:type="dxa"/>
            <w:tcBorders>
              <w:top w:val="nil"/>
              <w:left w:val="nil"/>
              <w:bottom w:val="single" w:sz="4" w:space="0" w:color="auto"/>
              <w:right w:val="single" w:sz="4" w:space="0" w:color="auto"/>
            </w:tcBorders>
            <w:shd w:val="clear" w:color="auto" w:fill="auto"/>
            <w:noWrap/>
            <w:vAlign w:val="center"/>
            <w:hideMark/>
          </w:tcPr>
          <w:p w:rsidR="00412B1E" w:rsidRPr="00412B1E" w:rsidRDefault="00412B1E" w:rsidP="00182842">
            <w:pPr>
              <w:pStyle w:val="TableText"/>
              <w:rPr>
                <w:rFonts w:eastAsia="Times New Roman"/>
              </w:rPr>
            </w:pPr>
            <w:r w:rsidRPr="00412B1E">
              <w:rPr>
                <w:rFonts w:eastAsia="Times New Roman"/>
              </w:rPr>
              <w:t>12.0</w:t>
            </w:r>
          </w:p>
        </w:tc>
      </w:tr>
    </w:tbl>
    <w:p w:rsidR="00265FED" w:rsidRPr="009A7E83" w:rsidRDefault="00265FED" w:rsidP="00265FED">
      <w:pPr>
        <w:pStyle w:val="Heading2"/>
        <w:spacing w:before="360"/>
      </w:pPr>
      <w:bookmarkStart w:id="27" w:name="_Toc348688761"/>
      <w:bookmarkStart w:id="28" w:name="_Toc350519891"/>
      <w:r w:rsidRPr="00265FED">
        <w:t>Sensitivity</w:t>
      </w:r>
      <w:r w:rsidRPr="009A7E83">
        <w:t xml:space="preserve"> Analysis</w:t>
      </w:r>
      <w:bookmarkEnd w:id="27"/>
      <w:bookmarkEnd w:id="28"/>
    </w:p>
    <w:p w:rsidR="00265FED" w:rsidRDefault="00265FED" w:rsidP="00182842">
      <w:pPr>
        <w:pStyle w:val="BodyParagraph"/>
      </w:pPr>
      <w:r w:rsidRPr="009A7E83">
        <w:t>Given the uncertainty in price responsiveness under mandatory TOU rates, in this section, we also</w:t>
      </w:r>
      <w:r w:rsidR="00D3329E">
        <w:t> </w:t>
      </w:r>
      <w:r w:rsidRPr="009A7E83">
        <w:t xml:space="preserve">include a sensitivity analysis, which provides per customer impacts for small and medium C&amp;I customers as a function of price elasticity inputs.  Table 4-4 summarizes the sensitivity analysis for medium customers and Table 4-5 does the </w:t>
      </w:r>
      <w:r w:rsidRPr="00182842">
        <w:t>same</w:t>
      </w:r>
      <w:r w:rsidRPr="009A7E83">
        <w:t xml:space="preserve"> for small customers.  For medium customers the tables assume customers will transition from the current A10 flat rate to the A10 TOU rates.  For small</w:t>
      </w:r>
      <w:r w:rsidR="00D3329E">
        <w:t> </w:t>
      </w:r>
      <w:r w:rsidRPr="009A7E83">
        <w:t>customers the table assumes customers will transition from the current A1 flat rate to the A1 TOU rates.</w:t>
      </w:r>
    </w:p>
    <w:p w:rsidR="00265FED" w:rsidRDefault="00265FED">
      <w:pPr>
        <w:rPr>
          <w:rFonts w:ascii="Verdana" w:hAnsi="Verdana"/>
          <w:sz w:val="18"/>
        </w:rPr>
      </w:pPr>
      <w:r>
        <w:br w:type="page"/>
      </w:r>
    </w:p>
    <w:p w:rsidR="00265FED" w:rsidRPr="009A7E83" w:rsidRDefault="00265FED" w:rsidP="00265FED">
      <w:pPr>
        <w:pStyle w:val="TableFigureCaption"/>
      </w:pPr>
      <w:r w:rsidRPr="009A7E83">
        <w:lastRenderedPageBreak/>
        <w:t>Table 4-4</w:t>
      </w:r>
      <w:r>
        <w:t xml:space="preserve"> </w:t>
      </w:r>
      <w:r w:rsidRPr="009A7E83">
        <w:t xml:space="preserve"> Medium C&amp;I Impacts per Customer (kW) for Different Price Elasticity Values</w:t>
      </w:r>
      <w:r>
        <w:br/>
      </w:r>
      <w:r w:rsidRPr="009A7E83">
        <w:t>August Monthly Peak with 1-in-2 Weather Year Conditions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849"/>
        <w:gridCol w:w="849"/>
        <w:gridCol w:w="849"/>
        <w:gridCol w:w="849"/>
        <w:gridCol w:w="849"/>
        <w:gridCol w:w="849"/>
        <w:gridCol w:w="849"/>
        <w:gridCol w:w="849"/>
        <w:gridCol w:w="849"/>
        <w:gridCol w:w="840"/>
      </w:tblGrid>
      <w:tr w:rsidR="00265FED" w:rsidRPr="009A7E83" w:rsidTr="00AA47E8">
        <w:trPr>
          <w:trHeight w:val="1212"/>
        </w:trPr>
        <w:tc>
          <w:tcPr>
            <w:tcW w:w="455" w:type="pct"/>
            <w:tcBorders>
              <w:right w:val="single" w:sz="4" w:space="0" w:color="FFFFFF" w:themeColor="background1"/>
            </w:tcBorders>
            <w:shd w:val="clear" w:color="000000" w:fill="1F497D"/>
            <w:vAlign w:val="center"/>
            <w:hideMark/>
          </w:tcPr>
          <w:p w:rsidR="00265FED" w:rsidRPr="009A7E83" w:rsidRDefault="00265FED" w:rsidP="00265FED">
            <w:pPr>
              <w:pStyle w:val="TableHeader"/>
            </w:pPr>
            <w:r w:rsidRPr="009A7E83">
              <w:t>Daily Own-Price Elasticity</w:t>
            </w:r>
          </w:p>
        </w:tc>
        <w:tc>
          <w:tcPr>
            <w:tcW w:w="4545" w:type="pct"/>
            <w:gridSpan w:val="10"/>
            <w:tcBorders>
              <w:left w:val="single" w:sz="4" w:space="0" w:color="FFFFFF" w:themeColor="background1"/>
            </w:tcBorders>
            <w:shd w:val="clear" w:color="000000" w:fill="1F497D"/>
            <w:vAlign w:val="center"/>
            <w:hideMark/>
          </w:tcPr>
          <w:p w:rsidR="00265FED" w:rsidRPr="009A7E83" w:rsidRDefault="00265FED" w:rsidP="00265FED">
            <w:pPr>
              <w:pStyle w:val="TableHeader"/>
            </w:pPr>
            <w:r w:rsidRPr="009A7E83">
              <w:t>Elasticity of Substitution</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 </w:t>
            </w:r>
          </w:p>
        </w:tc>
        <w:tc>
          <w:tcPr>
            <w:tcW w:w="455" w:type="pct"/>
            <w:shd w:val="clear" w:color="000000" w:fill="DBE5F1"/>
            <w:vAlign w:val="center"/>
            <w:hideMark/>
          </w:tcPr>
          <w:p w:rsidR="00265FED" w:rsidRPr="009A7E83" w:rsidRDefault="00265FED" w:rsidP="00265FED">
            <w:pPr>
              <w:pStyle w:val="TableText"/>
            </w:pPr>
            <w:r w:rsidRPr="009A7E83">
              <w:t>0.000</w:t>
            </w:r>
          </w:p>
        </w:tc>
        <w:tc>
          <w:tcPr>
            <w:tcW w:w="455" w:type="pct"/>
            <w:shd w:val="clear" w:color="000000" w:fill="DBE5F1"/>
            <w:vAlign w:val="center"/>
            <w:hideMark/>
          </w:tcPr>
          <w:p w:rsidR="00265FED" w:rsidRPr="009A7E83" w:rsidRDefault="00265FED" w:rsidP="00265FED">
            <w:pPr>
              <w:pStyle w:val="TableText"/>
            </w:pPr>
            <w:r w:rsidRPr="009A7E83">
              <w:t>0.010</w:t>
            </w:r>
          </w:p>
        </w:tc>
        <w:tc>
          <w:tcPr>
            <w:tcW w:w="455" w:type="pct"/>
            <w:shd w:val="clear" w:color="000000" w:fill="DBE5F1"/>
            <w:vAlign w:val="center"/>
            <w:hideMark/>
          </w:tcPr>
          <w:p w:rsidR="00265FED" w:rsidRPr="009A7E83" w:rsidRDefault="00265FED" w:rsidP="00265FED">
            <w:pPr>
              <w:pStyle w:val="TableText"/>
            </w:pPr>
            <w:r w:rsidRPr="009A7E83">
              <w:t>0.020</w:t>
            </w:r>
          </w:p>
        </w:tc>
        <w:tc>
          <w:tcPr>
            <w:tcW w:w="455" w:type="pct"/>
            <w:shd w:val="clear" w:color="000000" w:fill="DBE5F1"/>
            <w:vAlign w:val="center"/>
            <w:hideMark/>
          </w:tcPr>
          <w:p w:rsidR="00265FED" w:rsidRPr="009A7E83" w:rsidRDefault="00265FED" w:rsidP="00265FED">
            <w:pPr>
              <w:pStyle w:val="TableText"/>
            </w:pPr>
            <w:r w:rsidRPr="009A7E83">
              <w:t>0.030</w:t>
            </w:r>
          </w:p>
        </w:tc>
        <w:tc>
          <w:tcPr>
            <w:tcW w:w="455" w:type="pct"/>
            <w:shd w:val="clear" w:color="000000" w:fill="DBE5F1"/>
            <w:vAlign w:val="center"/>
            <w:hideMark/>
          </w:tcPr>
          <w:p w:rsidR="00265FED" w:rsidRPr="009A7E83" w:rsidRDefault="00265FED" w:rsidP="00265FED">
            <w:pPr>
              <w:pStyle w:val="TableText"/>
            </w:pPr>
            <w:r w:rsidRPr="009A7E83">
              <w:t>0.040</w:t>
            </w:r>
          </w:p>
        </w:tc>
        <w:tc>
          <w:tcPr>
            <w:tcW w:w="455" w:type="pct"/>
            <w:shd w:val="clear" w:color="000000" w:fill="DBE5F1"/>
            <w:vAlign w:val="center"/>
            <w:hideMark/>
          </w:tcPr>
          <w:p w:rsidR="00265FED" w:rsidRPr="009A7E83" w:rsidRDefault="00265FED" w:rsidP="00265FED">
            <w:pPr>
              <w:pStyle w:val="TableText"/>
            </w:pPr>
            <w:r w:rsidRPr="009A7E83">
              <w:t>0.050</w:t>
            </w:r>
          </w:p>
        </w:tc>
        <w:tc>
          <w:tcPr>
            <w:tcW w:w="455" w:type="pct"/>
            <w:shd w:val="clear" w:color="000000" w:fill="DBE5F1"/>
            <w:vAlign w:val="center"/>
            <w:hideMark/>
          </w:tcPr>
          <w:p w:rsidR="00265FED" w:rsidRPr="009A7E83" w:rsidRDefault="00265FED" w:rsidP="00265FED">
            <w:pPr>
              <w:pStyle w:val="TableText"/>
            </w:pPr>
            <w:r w:rsidRPr="009A7E83">
              <w:t>0.075</w:t>
            </w:r>
          </w:p>
        </w:tc>
        <w:tc>
          <w:tcPr>
            <w:tcW w:w="455" w:type="pct"/>
            <w:shd w:val="clear" w:color="000000" w:fill="DBE5F1"/>
            <w:vAlign w:val="center"/>
            <w:hideMark/>
          </w:tcPr>
          <w:p w:rsidR="00265FED" w:rsidRPr="009A7E83" w:rsidRDefault="00265FED" w:rsidP="00265FED">
            <w:pPr>
              <w:pStyle w:val="TableText"/>
            </w:pPr>
            <w:r w:rsidRPr="009A7E83">
              <w:t>0.100</w:t>
            </w:r>
          </w:p>
        </w:tc>
        <w:tc>
          <w:tcPr>
            <w:tcW w:w="455" w:type="pct"/>
            <w:shd w:val="clear" w:color="000000" w:fill="DBE5F1"/>
            <w:vAlign w:val="center"/>
            <w:hideMark/>
          </w:tcPr>
          <w:p w:rsidR="00265FED" w:rsidRPr="009A7E83" w:rsidRDefault="00265FED" w:rsidP="00265FED">
            <w:pPr>
              <w:pStyle w:val="TableText"/>
            </w:pPr>
            <w:r w:rsidRPr="009A7E83">
              <w:t>0.150</w:t>
            </w:r>
          </w:p>
        </w:tc>
        <w:tc>
          <w:tcPr>
            <w:tcW w:w="455" w:type="pct"/>
            <w:shd w:val="clear" w:color="000000" w:fill="DBE5F1"/>
            <w:vAlign w:val="center"/>
            <w:hideMark/>
          </w:tcPr>
          <w:p w:rsidR="00265FED" w:rsidRPr="009A7E83" w:rsidRDefault="00265FED" w:rsidP="00265FED">
            <w:pPr>
              <w:pStyle w:val="TableText"/>
            </w:pPr>
            <w:r w:rsidRPr="009A7E83">
              <w:t>0.200</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-0.03</w:t>
            </w:r>
          </w:p>
        </w:tc>
        <w:tc>
          <w:tcPr>
            <w:tcW w:w="455" w:type="pct"/>
            <w:shd w:val="clear" w:color="auto" w:fill="auto"/>
            <w:vAlign w:val="center"/>
            <w:hideMark/>
          </w:tcPr>
          <w:p w:rsidR="00265FED" w:rsidRPr="009A7E83" w:rsidRDefault="00265FED" w:rsidP="00265FED">
            <w:pPr>
              <w:pStyle w:val="TableText"/>
            </w:pPr>
            <w:r w:rsidRPr="009A7E83">
              <w:t>-0.06</w:t>
            </w:r>
          </w:p>
        </w:tc>
        <w:tc>
          <w:tcPr>
            <w:tcW w:w="455" w:type="pct"/>
            <w:shd w:val="clear" w:color="auto" w:fill="auto"/>
            <w:vAlign w:val="center"/>
            <w:hideMark/>
          </w:tcPr>
          <w:p w:rsidR="00265FED" w:rsidRPr="009A7E83" w:rsidRDefault="00265FED" w:rsidP="00265FED">
            <w:pPr>
              <w:pStyle w:val="TableText"/>
            </w:pPr>
            <w:r w:rsidRPr="009A7E83">
              <w:t>-0.09</w:t>
            </w:r>
          </w:p>
        </w:tc>
        <w:tc>
          <w:tcPr>
            <w:tcW w:w="455" w:type="pct"/>
            <w:shd w:val="clear" w:color="auto" w:fill="auto"/>
            <w:vAlign w:val="center"/>
            <w:hideMark/>
          </w:tcPr>
          <w:p w:rsidR="00265FED" w:rsidRPr="009A7E83" w:rsidRDefault="00265FED" w:rsidP="00265FED">
            <w:pPr>
              <w:pStyle w:val="TableText"/>
            </w:pPr>
            <w:r w:rsidRPr="009A7E83">
              <w:t>-0.12</w:t>
            </w:r>
          </w:p>
        </w:tc>
        <w:tc>
          <w:tcPr>
            <w:tcW w:w="455" w:type="pct"/>
            <w:shd w:val="clear" w:color="auto" w:fill="auto"/>
            <w:vAlign w:val="center"/>
            <w:hideMark/>
          </w:tcPr>
          <w:p w:rsidR="00265FED" w:rsidRPr="009A7E83" w:rsidRDefault="00265FED" w:rsidP="00265FED">
            <w:pPr>
              <w:pStyle w:val="TableText"/>
            </w:pPr>
            <w:r w:rsidRPr="009A7E83">
              <w:t>-0.15</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-0.30</w:t>
            </w:r>
          </w:p>
        </w:tc>
        <w:tc>
          <w:tcPr>
            <w:tcW w:w="455" w:type="pct"/>
            <w:shd w:val="clear" w:color="auto" w:fill="auto"/>
            <w:vAlign w:val="center"/>
            <w:hideMark/>
          </w:tcPr>
          <w:p w:rsidR="00265FED" w:rsidRPr="009A7E83" w:rsidRDefault="00265FED" w:rsidP="00265FED">
            <w:pPr>
              <w:pStyle w:val="TableText"/>
            </w:pPr>
            <w:r w:rsidRPr="009A7E83">
              <w:t>-0.45</w:t>
            </w:r>
          </w:p>
        </w:tc>
        <w:tc>
          <w:tcPr>
            <w:tcW w:w="455" w:type="pct"/>
            <w:shd w:val="clear" w:color="auto" w:fill="auto"/>
            <w:vAlign w:val="center"/>
            <w:hideMark/>
          </w:tcPr>
          <w:p w:rsidR="00265FED" w:rsidRPr="009A7E83" w:rsidRDefault="00265FED" w:rsidP="00265FED">
            <w:pPr>
              <w:pStyle w:val="TableText"/>
            </w:pPr>
            <w:r w:rsidRPr="009A7E83">
              <w:t>-0.60</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-0.010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-0.03</w:t>
            </w:r>
          </w:p>
        </w:tc>
        <w:tc>
          <w:tcPr>
            <w:tcW w:w="455" w:type="pct"/>
            <w:shd w:val="clear" w:color="auto" w:fill="auto"/>
            <w:vAlign w:val="center"/>
            <w:hideMark/>
          </w:tcPr>
          <w:p w:rsidR="00265FED" w:rsidRPr="009A7E83" w:rsidRDefault="00265FED" w:rsidP="00265FED">
            <w:pPr>
              <w:pStyle w:val="TableText"/>
            </w:pPr>
            <w:r w:rsidRPr="009A7E83">
              <w:t>-0.06</w:t>
            </w:r>
          </w:p>
        </w:tc>
        <w:tc>
          <w:tcPr>
            <w:tcW w:w="455" w:type="pct"/>
            <w:shd w:val="clear" w:color="auto" w:fill="auto"/>
            <w:vAlign w:val="center"/>
            <w:hideMark/>
          </w:tcPr>
          <w:p w:rsidR="00265FED" w:rsidRPr="009A7E83" w:rsidRDefault="00265FED" w:rsidP="00265FED">
            <w:pPr>
              <w:pStyle w:val="TableText"/>
            </w:pPr>
            <w:r w:rsidRPr="009A7E83">
              <w:t>-0.09</w:t>
            </w:r>
          </w:p>
        </w:tc>
        <w:tc>
          <w:tcPr>
            <w:tcW w:w="455" w:type="pct"/>
            <w:shd w:val="clear" w:color="auto" w:fill="auto"/>
            <w:vAlign w:val="center"/>
            <w:hideMark/>
          </w:tcPr>
          <w:p w:rsidR="00265FED" w:rsidRPr="009A7E83" w:rsidRDefault="00265FED" w:rsidP="00265FED">
            <w:pPr>
              <w:pStyle w:val="TableText"/>
            </w:pPr>
            <w:r w:rsidRPr="009A7E83">
              <w:t>-0.12</w:t>
            </w:r>
          </w:p>
        </w:tc>
        <w:tc>
          <w:tcPr>
            <w:tcW w:w="455" w:type="pct"/>
            <w:shd w:val="clear" w:color="auto" w:fill="auto"/>
            <w:vAlign w:val="center"/>
            <w:hideMark/>
          </w:tcPr>
          <w:p w:rsidR="00265FED" w:rsidRPr="009A7E83" w:rsidRDefault="00265FED" w:rsidP="00265FED">
            <w:pPr>
              <w:pStyle w:val="TableText"/>
            </w:pPr>
            <w:r w:rsidRPr="009A7E83">
              <w:t>-0.15</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-0.30</w:t>
            </w:r>
          </w:p>
        </w:tc>
        <w:tc>
          <w:tcPr>
            <w:tcW w:w="455" w:type="pct"/>
            <w:shd w:val="clear" w:color="auto" w:fill="auto"/>
            <w:vAlign w:val="center"/>
            <w:hideMark/>
          </w:tcPr>
          <w:p w:rsidR="00265FED" w:rsidRPr="009A7E83" w:rsidRDefault="00265FED" w:rsidP="00265FED">
            <w:pPr>
              <w:pStyle w:val="TableText"/>
            </w:pPr>
            <w:r w:rsidRPr="009A7E83">
              <w:t>-0.45</w:t>
            </w:r>
          </w:p>
        </w:tc>
        <w:tc>
          <w:tcPr>
            <w:tcW w:w="455" w:type="pct"/>
            <w:shd w:val="clear" w:color="auto" w:fill="auto"/>
            <w:vAlign w:val="center"/>
            <w:hideMark/>
          </w:tcPr>
          <w:p w:rsidR="00265FED" w:rsidRPr="009A7E83" w:rsidRDefault="00265FED" w:rsidP="00265FED">
            <w:pPr>
              <w:pStyle w:val="TableText"/>
            </w:pPr>
            <w:r w:rsidRPr="009A7E83">
              <w:t>-0.60</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-0.020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-0.03</w:t>
            </w:r>
          </w:p>
        </w:tc>
        <w:tc>
          <w:tcPr>
            <w:tcW w:w="455" w:type="pct"/>
            <w:shd w:val="clear" w:color="auto" w:fill="auto"/>
            <w:vAlign w:val="center"/>
            <w:hideMark/>
          </w:tcPr>
          <w:p w:rsidR="00265FED" w:rsidRPr="009A7E83" w:rsidRDefault="00265FED" w:rsidP="00265FED">
            <w:pPr>
              <w:pStyle w:val="TableText"/>
            </w:pPr>
            <w:r w:rsidRPr="009A7E83">
              <w:t>-0.06</w:t>
            </w:r>
          </w:p>
        </w:tc>
        <w:tc>
          <w:tcPr>
            <w:tcW w:w="455" w:type="pct"/>
            <w:shd w:val="clear" w:color="auto" w:fill="auto"/>
            <w:vAlign w:val="center"/>
            <w:hideMark/>
          </w:tcPr>
          <w:p w:rsidR="00265FED" w:rsidRPr="009A7E83" w:rsidRDefault="00265FED" w:rsidP="00265FED">
            <w:pPr>
              <w:pStyle w:val="TableText"/>
            </w:pPr>
            <w:r w:rsidRPr="009A7E83">
              <w:t>-0.09</w:t>
            </w:r>
          </w:p>
        </w:tc>
        <w:tc>
          <w:tcPr>
            <w:tcW w:w="455" w:type="pct"/>
            <w:shd w:val="clear" w:color="auto" w:fill="auto"/>
            <w:vAlign w:val="center"/>
            <w:hideMark/>
          </w:tcPr>
          <w:p w:rsidR="00265FED" w:rsidRPr="009A7E83" w:rsidRDefault="00265FED" w:rsidP="00265FED">
            <w:pPr>
              <w:pStyle w:val="TableText"/>
            </w:pPr>
            <w:r w:rsidRPr="009A7E83">
              <w:t>-0.12</w:t>
            </w:r>
          </w:p>
        </w:tc>
        <w:tc>
          <w:tcPr>
            <w:tcW w:w="455" w:type="pct"/>
            <w:shd w:val="clear" w:color="auto" w:fill="auto"/>
            <w:vAlign w:val="center"/>
            <w:hideMark/>
          </w:tcPr>
          <w:p w:rsidR="00265FED" w:rsidRPr="009A7E83" w:rsidRDefault="00265FED" w:rsidP="00265FED">
            <w:pPr>
              <w:pStyle w:val="TableText"/>
            </w:pPr>
            <w:r w:rsidRPr="009A7E83">
              <w:t>-0.15</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-0.030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-0.04</w:t>
            </w:r>
          </w:p>
        </w:tc>
        <w:tc>
          <w:tcPr>
            <w:tcW w:w="455" w:type="pct"/>
            <w:shd w:val="clear" w:color="auto" w:fill="auto"/>
            <w:vAlign w:val="center"/>
            <w:hideMark/>
          </w:tcPr>
          <w:p w:rsidR="00265FED" w:rsidRPr="009A7E83" w:rsidRDefault="00265FED" w:rsidP="00265FED">
            <w:pPr>
              <w:pStyle w:val="TableText"/>
            </w:pPr>
            <w:r w:rsidRPr="009A7E83">
              <w:t>-0.07</w:t>
            </w:r>
          </w:p>
        </w:tc>
        <w:tc>
          <w:tcPr>
            <w:tcW w:w="455" w:type="pct"/>
            <w:shd w:val="clear" w:color="auto" w:fill="auto"/>
            <w:vAlign w:val="center"/>
            <w:hideMark/>
          </w:tcPr>
          <w:p w:rsidR="00265FED" w:rsidRPr="009A7E83" w:rsidRDefault="00265FED" w:rsidP="00265FED">
            <w:pPr>
              <w:pStyle w:val="TableText"/>
            </w:pPr>
            <w:r w:rsidRPr="009A7E83">
              <w:t>-0.10</w:t>
            </w:r>
          </w:p>
        </w:tc>
        <w:tc>
          <w:tcPr>
            <w:tcW w:w="455" w:type="pct"/>
            <w:shd w:val="clear" w:color="auto" w:fill="auto"/>
            <w:vAlign w:val="center"/>
            <w:hideMark/>
          </w:tcPr>
          <w:p w:rsidR="00265FED" w:rsidRPr="009A7E83" w:rsidRDefault="00265FED" w:rsidP="00265FED">
            <w:pPr>
              <w:pStyle w:val="TableText"/>
            </w:pPr>
            <w:r w:rsidRPr="009A7E83">
              <w:t>-0.13</w:t>
            </w:r>
          </w:p>
        </w:tc>
        <w:tc>
          <w:tcPr>
            <w:tcW w:w="455" w:type="pct"/>
            <w:shd w:val="clear" w:color="auto" w:fill="auto"/>
            <w:vAlign w:val="center"/>
            <w:hideMark/>
          </w:tcPr>
          <w:p w:rsidR="00265FED" w:rsidRPr="009A7E83" w:rsidRDefault="00265FED" w:rsidP="00265FED">
            <w:pPr>
              <w:pStyle w:val="TableText"/>
            </w:pPr>
            <w:r w:rsidRPr="009A7E83">
              <w:t>-0.16</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-0.040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-0.04</w:t>
            </w:r>
          </w:p>
        </w:tc>
        <w:tc>
          <w:tcPr>
            <w:tcW w:w="455" w:type="pct"/>
            <w:shd w:val="clear" w:color="auto" w:fill="auto"/>
            <w:vAlign w:val="center"/>
            <w:hideMark/>
          </w:tcPr>
          <w:p w:rsidR="00265FED" w:rsidRPr="009A7E83" w:rsidRDefault="00265FED" w:rsidP="00265FED">
            <w:pPr>
              <w:pStyle w:val="TableText"/>
            </w:pPr>
            <w:r w:rsidRPr="009A7E83">
              <w:t>-0.07</w:t>
            </w:r>
          </w:p>
        </w:tc>
        <w:tc>
          <w:tcPr>
            <w:tcW w:w="455" w:type="pct"/>
            <w:shd w:val="clear" w:color="auto" w:fill="auto"/>
            <w:vAlign w:val="center"/>
            <w:hideMark/>
          </w:tcPr>
          <w:p w:rsidR="00265FED" w:rsidRPr="009A7E83" w:rsidRDefault="00265FED" w:rsidP="00265FED">
            <w:pPr>
              <w:pStyle w:val="TableText"/>
            </w:pPr>
            <w:r w:rsidRPr="009A7E83">
              <w:t>-0.10</w:t>
            </w:r>
          </w:p>
        </w:tc>
        <w:tc>
          <w:tcPr>
            <w:tcW w:w="455" w:type="pct"/>
            <w:shd w:val="clear" w:color="auto" w:fill="auto"/>
            <w:vAlign w:val="center"/>
            <w:hideMark/>
          </w:tcPr>
          <w:p w:rsidR="00265FED" w:rsidRPr="009A7E83" w:rsidRDefault="00265FED" w:rsidP="00265FED">
            <w:pPr>
              <w:pStyle w:val="TableText"/>
            </w:pPr>
            <w:r w:rsidRPr="009A7E83">
              <w:t>-0.13</w:t>
            </w:r>
          </w:p>
        </w:tc>
        <w:tc>
          <w:tcPr>
            <w:tcW w:w="455" w:type="pct"/>
            <w:shd w:val="clear" w:color="auto" w:fill="auto"/>
            <w:vAlign w:val="center"/>
            <w:hideMark/>
          </w:tcPr>
          <w:p w:rsidR="00265FED" w:rsidRPr="009A7E83" w:rsidRDefault="00265FED" w:rsidP="00265FED">
            <w:pPr>
              <w:pStyle w:val="TableText"/>
            </w:pPr>
            <w:r w:rsidRPr="009A7E83">
              <w:t>-0.16</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-0.050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-0.04</w:t>
            </w:r>
          </w:p>
        </w:tc>
        <w:tc>
          <w:tcPr>
            <w:tcW w:w="455" w:type="pct"/>
            <w:shd w:val="clear" w:color="auto" w:fill="auto"/>
            <w:vAlign w:val="center"/>
            <w:hideMark/>
          </w:tcPr>
          <w:p w:rsidR="00265FED" w:rsidRPr="009A7E83" w:rsidRDefault="00265FED" w:rsidP="00265FED">
            <w:pPr>
              <w:pStyle w:val="TableText"/>
            </w:pPr>
            <w:r w:rsidRPr="009A7E83">
              <w:t>-0.07</w:t>
            </w:r>
          </w:p>
        </w:tc>
        <w:tc>
          <w:tcPr>
            <w:tcW w:w="455" w:type="pct"/>
            <w:shd w:val="clear" w:color="auto" w:fill="auto"/>
            <w:vAlign w:val="center"/>
            <w:hideMark/>
          </w:tcPr>
          <w:p w:rsidR="00265FED" w:rsidRPr="009A7E83" w:rsidRDefault="00265FED" w:rsidP="00265FED">
            <w:pPr>
              <w:pStyle w:val="TableText"/>
            </w:pPr>
            <w:r w:rsidRPr="009A7E83">
              <w:t>-0.10</w:t>
            </w:r>
          </w:p>
        </w:tc>
        <w:tc>
          <w:tcPr>
            <w:tcW w:w="455" w:type="pct"/>
            <w:shd w:val="clear" w:color="auto" w:fill="auto"/>
            <w:vAlign w:val="center"/>
            <w:hideMark/>
          </w:tcPr>
          <w:p w:rsidR="00265FED" w:rsidRPr="009A7E83" w:rsidRDefault="00265FED" w:rsidP="00265FED">
            <w:pPr>
              <w:pStyle w:val="TableText"/>
            </w:pPr>
            <w:r w:rsidRPr="009A7E83">
              <w:t>-0.13</w:t>
            </w:r>
          </w:p>
        </w:tc>
        <w:tc>
          <w:tcPr>
            <w:tcW w:w="455" w:type="pct"/>
            <w:shd w:val="clear" w:color="auto" w:fill="auto"/>
            <w:vAlign w:val="center"/>
            <w:hideMark/>
          </w:tcPr>
          <w:p w:rsidR="00265FED" w:rsidRPr="009A7E83" w:rsidRDefault="00265FED" w:rsidP="00265FED">
            <w:pPr>
              <w:pStyle w:val="TableText"/>
            </w:pPr>
            <w:r w:rsidRPr="009A7E83">
              <w:t>-0.16</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-0.075</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-0.04</w:t>
            </w:r>
          </w:p>
        </w:tc>
        <w:tc>
          <w:tcPr>
            <w:tcW w:w="455" w:type="pct"/>
            <w:shd w:val="clear" w:color="auto" w:fill="auto"/>
            <w:vAlign w:val="center"/>
            <w:hideMark/>
          </w:tcPr>
          <w:p w:rsidR="00265FED" w:rsidRPr="009A7E83" w:rsidRDefault="00265FED" w:rsidP="00265FED">
            <w:pPr>
              <w:pStyle w:val="TableText"/>
            </w:pPr>
            <w:r w:rsidRPr="009A7E83">
              <w:t>-0.07</w:t>
            </w:r>
          </w:p>
        </w:tc>
        <w:tc>
          <w:tcPr>
            <w:tcW w:w="455" w:type="pct"/>
            <w:shd w:val="clear" w:color="auto" w:fill="auto"/>
            <w:vAlign w:val="center"/>
            <w:hideMark/>
          </w:tcPr>
          <w:p w:rsidR="00265FED" w:rsidRPr="009A7E83" w:rsidRDefault="00265FED" w:rsidP="00265FED">
            <w:pPr>
              <w:pStyle w:val="TableText"/>
            </w:pPr>
            <w:r w:rsidRPr="009A7E83">
              <w:t>-0.10</w:t>
            </w:r>
          </w:p>
        </w:tc>
        <w:tc>
          <w:tcPr>
            <w:tcW w:w="455" w:type="pct"/>
            <w:shd w:val="clear" w:color="auto" w:fill="auto"/>
            <w:vAlign w:val="center"/>
            <w:hideMark/>
          </w:tcPr>
          <w:p w:rsidR="00265FED" w:rsidRPr="009A7E83" w:rsidRDefault="00265FED" w:rsidP="00265FED">
            <w:pPr>
              <w:pStyle w:val="TableText"/>
            </w:pPr>
            <w:r w:rsidRPr="009A7E83">
              <w:t>-0.13</w:t>
            </w:r>
          </w:p>
        </w:tc>
        <w:tc>
          <w:tcPr>
            <w:tcW w:w="455" w:type="pct"/>
            <w:shd w:val="clear" w:color="auto" w:fill="auto"/>
            <w:vAlign w:val="center"/>
            <w:hideMark/>
          </w:tcPr>
          <w:p w:rsidR="00265FED" w:rsidRPr="009A7E83" w:rsidRDefault="00265FED" w:rsidP="00265FED">
            <w:pPr>
              <w:pStyle w:val="TableText"/>
            </w:pPr>
            <w:r w:rsidRPr="009A7E83">
              <w:t>-0.16</w:t>
            </w:r>
          </w:p>
        </w:tc>
        <w:tc>
          <w:tcPr>
            <w:tcW w:w="455" w:type="pct"/>
            <w:shd w:val="clear" w:color="auto" w:fill="auto"/>
            <w:vAlign w:val="center"/>
            <w:hideMark/>
          </w:tcPr>
          <w:p w:rsidR="00265FED" w:rsidRPr="009A7E83" w:rsidRDefault="00265FED" w:rsidP="00265FED">
            <w:pPr>
              <w:pStyle w:val="TableText"/>
            </w:pPr>
            <w:r w:rsidRPr="009A7E83">
              <w:t>-0.23</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-0.100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-0.04</w:t>
            </w:r>
          </w:p>
        </w:tc>
        <w:tc>
          <w:tcPr>
            <w:tcW w:w="455" w:type="pct"/>
            <w:shd w:val="clear" w:color="auto" w:fill="auto"/>
            <w:vAlign w:val="center"/>
            <w:hideMark/>
          </w:tcPr>
          <w:p w:rsidR="00265FED" w:rsidRPr="009A7E83" w:rsidRDefault="00265FED" w:rsidP="00265FED">
            <w:pPr>
              <w:pStyle w:val="TableText"/>
            </w:pPr>
            <w:r w:rsidRPr="009A7E83">
              <w:t>-0.07</w:t>
            </w:r>
          </w:p>
        </w:tc>
        <w:tc>
          <w:tcPr>
            <w:tcW w:w="455" w:type="pct"/>
            <w:shd w:val="clear" w:color="auto" w:fill="auto"/>
            <w:vAlign w:val="center"/>
            <w:hideMark/>
          </w:tcPr>
          <w:p w:rsidR="00265FED" w:rsidRPr="009A7E83" w:rsidRDefault="00265FED" w:rsidP="00265FED">
            <w:pPr>
              <w:pStyle w:val="TableText"/>
            </w:pPr>
            <w:r w:rsidRPr="009A7E83">
              <w:t>-0.10</w:t>
            </w:r>
          </w:p>
        </w:tc>
        <w:tc>
          <w:tcPr>
            <w:tcW w:w="455" w:type="pct"/>
            <w:shd w:val="clear" w:color="auto" w:fill="auto"/>
            <w:vAlign w:val="center"/>
            <w:hideMark/>
          </w:tcPr>
          <w:p w:rsidR="00265FED" w:rsidRPr="009A7E83" w:rsidRDefault="00265FED" w:rsidP="00265FED">
            <w:pPr>
              <w:pStyle w:val="TableText"/>
            </w:pPr>
            <w:r w:rsidRPr="009A7E83">
              <w:t>-0.13</w:t>
            </w:r>
          </w:p>
        </w:tc>
        <w:tc>
          <w:tcPr>
            <w:tcW w:w="455" w:type="pct"/>
            <w:shd w:val="clear" w:color="auto" w:fill="auto"/>
            <w:vAlign w:val="center"/>
            <w:hideMark/>
          </w:tcPr>
          <w:p w:rsidR="00265FED" w:rsidRPr="009A7E83" w:rsidRDefault="00265FED" w:rsidP="00265FED">
            <w:pPr>
              <w:pStyle w:val="TableText"/>
            </w:pPr>
            <w:r w:rsidRPr="009A7E83">
              <w:t>-0.16</w:t>
            </w:r>
          </w:p>
        </w:tc>
        <w:tc>
          <w:tcPr>
            <w:tcW w:w="455" w:type="pct"/>
            <w:shd w:val="clear" w:color="auto" w:fill="auto"/>
            <w:vAlign w:val="center"/>
            <w:hideMark/>
          </w:tcPr>
          <w:p w:rsidR="00265FED" w:rsidRPr="009A7E83" w:rsidRDefault="00265FED" w:rsidP="00265FED">
            <w:pPr>
              <w:pStyle w:val="TableText"/>
            </w:pPr>
            <w:r w:rsidRPr="009A7E83">
              <w:t>-0.24</w:t>
            </w:r>
          </w:p>
        </w:tc>
        <w:tc>
          <w:tcPr>
            <w:tcW w:w="455" w:type="pct"/>
            <w:shd w:val="clear" w:color="auto" w:fill="auto"/>
            <w:vAlign w:val="center"/>
            <w:hideMark/>
          </w:tcPr>
          <w:p w:rsidR="00265FED" w:rsidRPr="009A7E83" w:rsidRDefault="00265FED" w:rsidP="00265FED">
            <w:pPr>
              <w:pStyle w:val="TableText"/>
            </w:pPr>
            <w:r w:rsidRPr="009A7E83">
              <w:t>-0.31</w:t>
            </w:r>
          </w:p>
        </w:tc>
        <w:tc>
          <w:tcPr>
            <w:tcW w:w="455" w:type="pct"/>
            <w:shd w:val="clear" w:color="auto" w:fill="auto"/>
            <w:vAlign w:val="center"/>
            <w:hideMark/>
          </w:tcPr>
          <w:p w:rsidR="00265FED" w:rsidRPr="009A7E83" w:rsidRDefault="00265FED" w:rsidP="00265FED">
            <w:pPr>
              <w:pStyle w:val="TableText"/>
            </w:pPr>
            <w:r w:rsidRPr="009A7E83">
              <w:t>-0.46</w:t>
            </w:r>
          </w:p>
        </w:tc>
        <w:tc>
          <w:tcPr>
            <w:tcW w:w="455" w:type="pct"/>
            <w:shd w:val="clear" w:color="auto" w:fill="auto"/>
            <w:vAlign w:val="center"/>
            <w:hideMark/>
          </w:tcPr>
          <w:p w:rsidR="00265FED" w:rsidRPr="009A7E83" w:rsidRDefault="00265FED" w:rsidP="00265FED">
            <w:pPr>
              <w:pStyle w:val="TableText"/>
            </w:pPr>
            <w:r w:rsidRPr="009A7E83">
              <w:t>-0.61</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-0.150</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-0.05</w:t>
            </w:r>
          </w:p>
        </w:tc>
        <w:tc>
          <w:tcPr>
            <w:tcW w:w="455" w:type="pct"/>
            <w:shd w:val="clear" w:color="auto" w:fill="auto"/>
            <w:vAlign w:val="center"/>
            <w:hideMark/>
          </w:tcPr>
          <w:p w:rsidR="00265FED" w:rsidRPr="009A7E83" w:rsidRDefault="00265FED" w:rsidP="00265FED">
            <w:pPr>
              <w:pStyle w:val="TableText"/>
            </w:pPr>
            <w:r w:rsidRPr="009A7E83">
              <w:t>-0.08</w:t>
            </w:r>
          </w:p>
        </w:tc>
        <w:tc>
          <w:tcPr>
            <w:tcW w:w="455" w:type="pct"/>
            <w:shd w:val="clear" w:color="auto" w:fill="auto"/>
            <w:vAlign w:val="center"/>
            <w:hideMark/>
          </w:tcPr>
          <w:p w:rsidR="00265FED" w:rsidRPr="009A7E83" w:rsidRDefault="00265FED" w:rsidP="00265FED">
            <w:pPr>
              <w:pStyle w:val="TableText"/>
            </w:pPr>
            <w:r w:rsidRPr="009A7E83">
              <w:t>-0.11</w:t>
            </w:r>
          </w:p>
        </w:tc>
        <w:tc>
          <w:tcPr>
            <w:tcW w:w="455" w:type="pct"/>
            <w:shd w:val="clear" w:color="auto" w:fill="auto"/>
            <w:vAlign w:val="center"/>
            <w:hideMark/>
          </w:tcPr>
          <w:p w:rsidR="00265FED" w:rsidRPr="009A7E83" w:rsidRDefault="00265FED" w:rsidP="00265FED">
            <w:pPr>
              <w:pStyle w:val="TableText"/>
            </w:pPr>
            <w:r w:rsidRPr="009A7E83">
              <w:t>-0.14</w:t>
            </w:r>
          </w:p>
        </w:tc>
        <w:tc>
          <w:tcPr>
            <w:tcW w:w="455" w:type="pct"/>
            <w:shd w:val="clear" w:color="auto" w:fill="auto"/>
            <w:vAlign w:val="center"/>
            <w:hideMark/>
          </w:tcPr>
          <w:p w:rsidR="00265FED" w:rsidRPr="009A7E83" w:rsidRDefault="00265FED" w:rsidP="00265FED">
            <w:pPr>
              <w:pStyle w:val="TableText"/>
            </w:pPr>
            <w:r w:rsidRPr="009A7E83">
              <w:t>-0.17</w:t>
            </w:r>
          </w:p>
        </w:tc>
        <w:tc>
          <w:tcPr>
            <w:tcW w:w="455" w:type="pct"/>
            <w:shd w:val="clear" w:color="auto" w:fill="auto"/>
            <w:vAlign w:val="center"/>
            <w:hideMark/>
          </w:tcPr>
          <w:p w:rsidR="00265FED" w:rsidRPr="009A7E83" w:rsidRDefault="00265FED" w:rsidP="00265FED">
            <w:pPr>
              <w:pStyle w:val="TableText"/>
            </w:pPr>
            <w:r w:rsidRPr="009A7E83">
              <w:t>-0.25</w:t>
            </w:r>
          </w:p>
        </w:tc>
        <w:tc>
          <w:tcPr>
            <w:tcW w:w="455" w:type="pct"/>
            <w:shd w:val="clear" w:color="auto" w:fill="auto"/>
            <w:vAlign w:val="center"/>
            <w:hideMark/>
          </w:tcPr>
          <w:p w:rsidR="00265FED" w:rsidRPr="009A7E83" w:rsidRDefault="00265FED" w:rsidP="00265FED">
            <w:pPr>
              <w:pStyle w:val="TableText"/>
            </w:pPr>
            <w:r w:rsidRPr="009A7E83">
              <w:t>-0.32</w:t>
            </w:r>
          </w:p>
        </w:tc>
        <w:tc>
          <w:tcPr>
            <w:tcW w:w="455" w:type="pct"/>
            <w:shd w:val="clear" w:color="auto" w:fill="auto"/>
            <w:vAlign w:val="center"/>
            <w:hideMark/>
          </w:tcPr>
          <w:p w:rsidR="00265FED" w:rsidRPr="009A7E83" w:rsidRDefault="00265FED" w:rsidP="00265FED">
            <w:pPr>
              <w:pStyle w:val="TableText"/>
            </w:pPr>
            <w:r w:rsidRPr="009A7E83">
              <w:t>-0.47</w:t>
            </w:r>
          </w:p>
        </w:tc>
        <w:tc>
          <w:tcPr>
            <w:tcW w:w="455" w:type="pct"/>
            <w:shd w:val="clear" w:color="auto" w:fill="auto"/>
            <w:vAlign w:val="center"/>
            <w:hideMark/>
          </w:tcPr>
          <w:p w:rsidR="00265FED" w:rsidRPr="009A7E83" w:rsidRDefault="00265FED" w:rsidP="00265FED">
            <w:pPr>
              <w:pStyle w:val="TableText"/>
            </w:pPr>
            <w:r w:rsidRPr="009A7E83">
              <w:t>-0.62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-0.200</w:t>
            </w:r>
          </w:p>
        </w:tc>
        <w:tc>
          <w:tcPr>
            <w:tcW w:w="455" w:type="pct"/>
            <w:shd w:val="clear" w:color="auto" w:fill="auto"/>
            <w:vAlign w:val="center"/>
            <w:hideMark/>
          </w:tcPr>
          <w:p w:rsidR="00265FED" w:rsidRPr="009A7E83" w:rsidRDefault="00265FED" w:rsidP="00265FED">
            <w:pPr>
              <w:pStyle w:val="TableText"/>
            </w:pPr>
            <w:r w:rsidRPr="009A7E83">
              <w:t>-0.03</w:t>
            </w:r>
          </w:p>
        </w:tc>
        <w:tc>
          <w:tcPr>
            <w:tcW w:w="455" w:type="pct"/>
            <w:shd w:val="clear" w:color="auto" w:fill="auto"/>
            <w:vAlign w:val="center"/>
            <w:hideMark/>
          </w:tcPr>
          <w:p w:rsidR="00265FED" w:rsidRPr="009A7E83" w:rsidRDefault="00265FED" w:rsidP="00265FED">
            <w:pPr>
              <w:pStyle w:val="TableText"/>
            </w:pPr>
            <w:r w:rsidRPr="009A7E83">
              <w:t>-0.06</w:t>
            </w:r>
          </w:p>
        </w:tc>
        <w:tc>
          <w:tcPr>
            <w:tcW w:w="455" w:type="pct"/>
            <w:shd w:val="clear" w:color="auto" w:fill="auto"/>
            <w:vAlign w:val="center"/>
            <w:hideMark/>
          </w:tcPr>
          <w:p w:rsidR="00265FED" w:rsidRPr="009A7E83" w:rsidRDefault="00265FED" w:rsidP="00265FED">
            <w:pPr>
              <w:pStyle w:val="TableText"/>
            </w:pPr>
            <w:r w:rsidRPr="009A7E83">
              <w:t>-0.09</w:t>
            </w:r>
          </w:p>
        </w:tc>
        <w:tc>
          <w:tcPr>
            <w:tcW w:w="455" w:type="pct"/>
            <w:shd w:val="clear" w:color="auto" w:fill="auto"/>
            <w:vAlign w:val="center"/>
            <w:hideMark/>
          </w:tcPr>
          <w:p w:rsidR="00265FED" w:rsidRPr="009A7E83" w:rsidRDefault="00265FED" w:rsidP="00265FED">
            <w:pPr>
              <w:pStyle w:val="TableText"/>
            </w:pPr>
            <w:r w:rsidRPr="009A7E83">
              <w:t>-0.12</w:t>
            </w:r>
          </w:p>
        </w:tc>
        <w:tc>
          <w:tcPr>
            <w:tcW w:w="455" w:type="pct"/>
            <w:shd w:val="clear" w:color="auto" w:fill="auto"/>
            <w:vAlign w:val="center"/>
            <w:hideMark/>
          </w:tcPr>
          <w:p w:rsidR="00265FED" w:rsidRPr="009A7E83" w:rsidRDefault="00265FED" w:rsidP="00265FED">
            <w:pPr>
              <w:pStyle w:val="TableText"/>
            </w:pPr>
            <w:r w:rsidRPr="009A7E83">
              <w:t>-0.15</w:t>
            </w:r>
          </w:p>
        </w:tc>
        <w:tc>
          <w:tcPr>
            <w:tcW w:w="455" w:type="pct"/>
            <w:shd w:val="clear" w:color="auto" w:fill="auto"/>
            <w:vAlign w:val="center"/>
            <w:hideMark/>
          </w:tcPr>
          <w:p w:rsidR="00265FED" w:rsidRPr="009A7E83" w:rsidRDefault="00265FED" w:rsidP="00265FED">
            <w:pPr>
              <w:pStyle w:val="TableText"/>
            </w:pPr>
            <w:r w:rsidRPr="009A7E83">
              <w:t>-0.18</w:t>
            </w:r>
          </w:p>
        </w:tc>
        <w:tc>
          <w:tcPr>
            <w:tcW w:w="455" w:type="pct"/>
            <w:shd w:val="clear" w:color="auto" w:fill="auto"/>
            <w:vAlign w:val="center"/>
            <w:hideMark/>
          </w:tcPr>
          <w:p w:rsidR="00265FED" w:rsidRPr="009A7E83" w:rsidRDefault="00265FED" w:rsidP="00265FED">
            <w:pPr>
              <w:pStyle w:val="TableText"/>
            </w:pPr>
            <w:r w:rsidRPr="009A7E83">
              <w:t>-0.25</w:t>
            </w:r>
          </w:p>
        </w:tc>
        <w:tc>
          <w:tcPr>
            <w:tcW w:w="455" w:type="pct"/>
            <w:shd w:val="clear" w:color="auto" w:fill="auto"/>
            <w:vAlign w:val="center"/>
            <w:hideMark/>
          </w:tcPr>
          <w:p w:rsidR="00265FED" w:rsidRPr="009A7E83" w:rsidRDefault="00265FED" w:rsidP="00265FED">
            <w:pPr>
              <w:pStyle w:val="TableText"/>
            </w:pPr>
            <w:r w:rsidRPr="009A7E83">
              <w:t>-0.33</w:t>
            </w:r>
          </w:p>
        </w:tc>
        <w:tc>
          <w:tcPr>
            <w:tcW w:w="455" w:type="pct"/>
            <w:shd w:val="clear" w:color="auto" w:fill="auto"/>
            <w:vAlign w:val="center"/>
            <w:hideMark/>
          </w:tcPr>
          <w:p w:rsidR="00265FED" w:rsidRPr="009A7E83" w:rsidRDefault="00265FED" w:rsidP="00265FED">
            <w:pPr>
              <w:pStyle w:val="TableText"/>
            </w:pPr>
            <w:r w:rsidRPr="009A7E83">
              <w:t>-0.48</w:t>
            </w:r>
          </w:p>
        </w:tc>
        <w:tc>
          <w:tcPr>
            <w:tcW w:w="455" w:type="pct"/>
            <w:shd w:val="clear" w:color="auto" w:fill="auto"/>
            <w:vAlign w:val="center"/>
            <w:hideMark/>
          </w:tcPr>
          <w:p w:rsidR="00265FED" w:rsidRPr="009A7E83" w:rsidRDefault="00265FED" w:rsidP="00265FED">
            <w:pPr>
              <w:pStyle w:val="TableText"/>
            </w:pPr>
            <w:r w:rsidRPr="009A7E83">
              <w:t>-0.63</w:t>
            </w:r>
          </w:p>
        </w:tc>
      </w:tr>
    </w:tbl>
    <w:p w:rsidR="00265FED" w:rsidRPr="009A7E83" w:rsidRDefault="00265FED" w:rsidP="00265FED">
      <w:pPr>
        <w:pStyle w:val="TableFigureCaption"/>
        <w:spacing w:before="360"/>
        <w:contextualSpacing/>
      </w:pPr>
      <w:r w:rsidRPr="009A7E83">
        <w:t>Table 4-5:</w:t>
      </w:r>
      <w:r>
        <w:t xml:space="preserve"> </w:t>
      </w:r>
      <w:r w:rsidRPr="009A7E83">
        <w:t xml:space="preserve"> Small C&amp;I Impacts per Customer (kW) for Different Price Elasticity Values</w:t>
      </w:r>
      <w:r w:rsidR="00AA47E8">
        <w:br/>
      </w:r>
      <w:r w:rsidRPr="009A7E83">
        <w:t>August Monthly Peak with 1-in-2 Weather Year Conditions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849"/>
        <w:gridCol w:w="849"/>
        <w:gridCol w:w="849"/>
        <w:gridCol w:w="849"/>
        <w:gridCol w:w="849"/>
        <w:gridCol w:w="849"/>
        <w:gridCol w:w="849"/>
        <w:gridCol w:w="849"/>
        <w:gridCol w:w="849"/>
        <w:gridCol w:w="840"/>
      </w:tblGrid>
      <w:tr w:rsidR="00265FED" w:rsidRPr="009A7E83" w:rsidTr="00AA47E8">
        <w:trPr>
          <w:trHeight w:val="1212"/>
        </w:trPr>
        <w:tc>
          <w:tcPr>
            <w:tcW w:w="455" w:type="pct"/>
            <w:tcBorders>
              <w:right w:val="single" w:sz="4" w:space="0" w:color="FFFFFF" w:themeColor="background1"/>
            </w:tcBorders>
            <w:shd w:val="clear" w:color="000000" w:fill="1F497D"/>
            <w:vAlign w:val="center"/>
            <w:hideMark/>
          </w:tcPr>
          <w:p w:rsidR="00265FED" w:rsidRPr="009A7E83" w:rsidRDefault="00265FED" w:rsidP="00265FED">
            <w:pPr>
              <w:pStyle w:val="TableHeader"/>
            </w:pPr>
            <w:r w:rsidRPr="009A7E83">
              <w:t>Daily Own-Price Elasticity</w:t>
            </w:r>
          </w:p>
        </w:tc>
        <w:tc>
          <w:tcPr>
            <w:tcW w:w="4545" w:type="pct"/>
            <w:gridSpan w:val="10"/>
            <w:tcBorders>
              <w:left w:val="single" w:sz="4" w:space="0" w:color="FFFFFF" w:themeColor="background1"/>
            </w:tcBorders>
            <w:shd w:val="clear" w:color="000000" w:fill="1F497D"/>
            <w:vAlign w:val="center"/>
            <w:hideMark/>
          </w:tcPr>
          <w:p w:rsidR="00265FED" w:rsidRPr="009A7E83" w:rsidRDefault="00265FED" w:rsidP="00265FED">
            <w:pPr>
              <w:pStyle w:val="TableHeader"/>
            </w:pPr>
            <w:r w:rsidRPr="009A7E83">
              <w:t>Elasticity of Substitution</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 </w:t>
            </w:r>
          </w:p>
        </w:tc>
        <w:tc>
          <w:tcPr>
            <w:tcW w:w="455" w:type="pct"/>
            <w:shd w:val="clear" w:color="000000" w:fill="DBE5F1"/>
            <w:vAlign w:val="center"/>
            <w:hideMark/>
          </w:tcPr>
          <w:p w:rsidR="00265FED" w:rsidRPr="009A7E83" w:rsidRDefault="00265FED" w:rsidP="00265FED">
            <w:pPr>
              <w:pStyle w:val="TableText"/>
            </w:pPr>
            <w:r w:rsidRPr="009A7E83">
              <w:t>0.000</w:t>
            </w:r>
          </w:p>
        </w:tc>
        <w:tc>
          <w:tcPr>
            <w:tcW w:w="455" w:type="pct"/>
            <w:shd w:val="clear" w:color="000000" w:fill="DBE5F1"/>
            <w:vAlign w:val="center"/>
            <w:hideMark/>
          </w:tcPr>
          <w:p w:rsidR="00265FED" w:rsidRPr="009A7E83" w:rsidRDefault="00265FED" w:rsidP="00265FED">
            <w:pPr>
              <w:pStyle w:val="TableText"/>
            </w:pPr>
            <w:r w:rsidRPr="009A7E83">
              <w:t>0.010</w:t>
            </w:r>
          </w:p>
        </w:tc>
        <w:tc>
          <w:tcPr>
            <w:tcW w:w="455" w:type="pct"/>
            <w:shd w:val="clear" w:color="000000" w:fill="DBE5F1"/>
            <w:vAlign w:val="center"/>
            <w:hideMark/>
          </w:tcPr>
          <w:p w:rsidR="00265FED" w:rsidRPr="009A7E83" w:rsidRDefault="00265FED" w:rsidP="00265FED">
            <w:pPr>
              <w:pStyle w:val="TableText"/>
            </w:pPr>
            <w:r w:rsidRPr="009A7E83">
              <w:t>0.020</w:t>
            </w:r>
          </w:p>
        </w:tc>
        <w:tc>
          <w:tcPr>
            <w:tcW w:w="455" w:type="pct"/>
            <w:shd w:val="clear" w:color="000000" w:fill="DBE5F1"/>
            <w:vAlign w:val="center"/>
            <w:hideMark/>
          </w:tcPr>
          <w:p w:rsidR="00265FED" w:rsidRPr="009A7E83" w:rsidRDefault="00265FED" w:rsidP="00265FED">
            <w:pPr>
              <w:pStyle w:val="TableText"/>
            </w:pPr>
            <w:r w:rsidRPr="009A7E83">
              <w:t>0.030</w:t>
            </w:r>
          </w:p>
        </w:tc>
        <w:tc>
          <w:tcPr>
            <w:tcW w:w="455" w:type="pct"/>
            <w:shd w:val="clear" w:color="000000" w:fill="DBE5F1"/>
            <w:vAlign w:val="center"/>
            <w:hideMark/>
          </w:tcPr>
          <w:p w:rsidR="00265FED" w:rsidRPr="009A7E83" w:rsidRDefault="00265FED" w:rsidP="00265FED">
            <w:pPr>
              <w:pStyle w:val="TableText"/>
            </w:pPr>
            <w:r w:rsidRPr="009A7E83">
              <w:t>0.040</w:t>
            </w:r>
          </w:p>
        </w:tc>
        <w:tc>
          <w:tcPr>
            <w:tcW w:w="455" w:type="pct"/>
            <w:shd w:val="clear" w:color="000000" w:fill="DBE5F1"/>
            <w:vAlign w:val="center"/>
            <w:hideMark/>
          </w:tcPr>
          <w:p w:rsidR="00265FED" w:rsidRPr="009A7E83" w:rsidRDefault="00265FED" w:rsidP="00265FED">
            <w:pPr>
              <w:pStyle w:val="TableText"/>
            </w:pPr>
            <w:r w:rsidRPr="009A7E83">
              <w:t>0.050</w:t>
            </w:r>
          </w:p>
        </w:tc>
        <w:tc>
          <w:tcPr>
            <w:tcW w:w="455" w:type="pct"/>
            <w:shd w:val="clear" w:color="000000" w:fill="DBE5F1"/>
            <w:vAlign w:val="center"/>
            <w:hideMark/>
          </w:tcPr>
          <w:p w:rsidR="00265FED" w:rsidRPr="009A7E83" w:rsidRDefault="00265FED" w:rsidP="00265FED">
            <w:pPr>
              <w:pStyle w:val="TableText"/>
            </w:pPr>
            <w:r w:rsidRPr="009A7E83">
              <w:t>0.075</w:t>
            </w:r>
          </w:p>
        </w:tc>
        <w:tc>
          <w:tcPr>
            <w:tcW w:w="455" w:type="pct"/>
            <w:shd w:val="clear" w:color="000000" w:fill="DBE5F1"/>
            <w:vAlign w:val="center"/>
            <w:hideMark/>
          </w:tcPr>
          <w:p w:rsidR="00265FED" w:rsidRPr="009A7E83" w:rsidRDefault="00265FED" w:rsidP="00265FED">
            <w:pPr>
              <w:pStyle w:val="TableText"/>
            </w:pPr>
            <w:r w:rsidRPr="009A7E83">
              <w:t>0.100</w:t>
            </w:r>
          </w:p>
        </w:tc>
        <w:tc>
          <w:tcPr>
            <w:tcW w:w="455" w:type="pct"/>
            <w:shd w:val="clear" w:color="000000" w:fill="DBE5F1"/>
            <w:vAlign w:val="center"/>
            <w:hideMark/>
          </w:tcPr>
          <w:p w:rsidR="00265FED" w:rsidRPr="009A7E83" w:rsidRDefault="00265FED" w:rsidP="00265FED">
            <w:pPr>
              <w:pStyle w:val="TableText"/>
            </w:pPr>
            <w:r w:rsidRPr="009A7E83">
              <w:t>0.150</w:t>
            </w:r>
          </w:p>
        </w:tc>
        <w:tc>
          <w:tcPr>
            <w:tcW w:w="455" w:type="pct"/>
            <w:shd w:val="clear" w:color="000000" w:fill="DBE5F1"/>
            <w:vAlign w:val="center"/>
            <w:hideMark/>
          </w:tcPr>
          <w:p w:rsidR="00265FED" w:rsidRPr="009A7E83" w:rsidRDefault="00265FED" w:rsidP="00265FED">
            <w:pPr>
              <w:pStyle w:val="TableText"/>
            </w:pPr>
            <w:r w:rsidRPr="009A7E83">
              <w:t>0.200</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-0.010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-0.020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-0.030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-0.040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-0.050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-0.075</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-0.100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-0.150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r w:rsidR="00265FED" w:rsidRPr="009A7E83" w:rsidTr="00AA47E8">
        <w:trPr>
          <w:trHeight w:val="317"/>
        </w:trPr>
        <w:tc>
          <w:tcPr>
            <w:tcW w:w="455" w:type="pct"/>
            <w:shd w:val="clear" w:color="000000" w:fill="DBE5F1"/>
            <w:vAlign w:val="center"/>
            <w:hideMark/>
          </w:tcPr>
          <w:p w:rsidR="00265FED" w:rsidRPr="009A7E83" w:rsidRDefault="00265FED" w:rsidP="00265FED">
            <w:pPr>
              <w:pStyle w:val="TableText"/>
            </w:pPr>
            <w:r w:rsidRPr="009A7E83">
              <w:t>-0.200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0.00</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-0.01</w:t>
            </w:r>
          </w:p>
        </w:tc>
        <w:tc>
          <w:tcPr>
            <w:tcW w:w="455" w:type="pct"/>
            <w:shd w:val="clear" w:color="auto" w:fill="auto"/>
            <w:vAlign w:val="center"/>
            <w:hideMark/>
          </w:tcPr>
          <w:p w:rsidR="00265FED" w:rsidRPr="009A7E83" w:rsidRDefault="00265FED" w:rsidP="00265FED">
            <w:pPr>
              <w:pStyle w:val="TableText"/>
            </w:pPr>
            <w:r w:rsidRPr="009A7E83">
              <w:t>-0.02</w:t>
            </w:r>
          </w:p>
        </w:tc>
        <w:tc>
          <w:tcPr>
            <w:tcW w:w="455" w:type="pct"/>
            <w:shd w:val="clear" w:color="auto" w:fill="auto"/>
            <w:vAlign w:val="center"/>
            <w:hideMark/>
          </w:tcPr>
          <w:p w:rsidR="00265FED" w:rsidRPr="009A7E83" w:rsidRDefault="00265FED" w:rsidP="00265FED">
            <w:pPr>
              <w:pStyle w:val="TableText"/>
            </w:pPr>
            <w:r w:rsidRPr="009A7E83">
              <w:t>-0.02</w:t>
            </w:r>
          </w:p>
        </w:tc>
      </w:tr>
    </w:tbl>
    <w:p w:rsidR="00265FED" w:rsidRPr="009A7E83" w:rsidRDefault="00265FED" w:rsidP="00265FED">
      <w:pPr>
        <w:pStyle w:val="Heading2"/>
        <w:spacing w:before="360"/>
      </w:pPr>
      <w:bookmarkStart w:id="29" w:name="_Toc348688762"/>
      <w:bookmarkStart w:id="30" w:name="_Toc350519892"/>
      <w:r w:rsidRPr="00265FED">
        <w:t>Comparison</w:t>
      </w:r>
      <w:r w:rsidRPr="009A7E83">
        <w:t xml:space="preserve"> with 2011 Ex Ante Estimates</w:t>
      </w:r>
      <w:bookmarkEnd w:id="29"/>
      <w:bookmarkEnd w:id="30"/>
    </w:p>
    <w:p w:rsidR="00265FED" w:rsidRPr="009A7E83" w:rsidRDefault="00265FED" w:rsidP="00265FED">
      <w:pPr>
        <w:pStyle w:val="BodyParagraph"/>
      </w:pPr>
      <w:r w:rsidRPr="00BF4C51">
        <w:t xml:space="preserve">In 2011, the TOU ex ante report estimated 14.1 MW of incremental demand reduction by 2014.  The incremental impact estimated in this year’s evaluation </w:t>
      </w:r>
      <w:r w:rsidR="00412B1E">
        <w:t>is 10.8</w:t>
      </w:r>
      <w:r w:rsidRPr="00BF4C51">
        <w:t xml:space="preserve"> MW for the same year.  T</w:t>
      </w:r>
      <w:r>
        <w:t xml:space="preserve">he embedded </w:t>
      </w:r>
      <w:r>
        <w:lastRenderedPageBreak/>
        <w:t>impact this year, 168.9</w:t>
      </w:r>
      <w:r w:rsidRPr="00BF4C51">
        <w:t xml:space="preserve"> </w:t>
      </w:r>
      <w:r>
        <w:t>MW for the 2014 annual peak, is</w:t>
      </w:r>
      <w:r w:rsidRPr="00BF4C51">
        <w:t xml:space="preserve"> </w:t>
      </w:r>
      <w:r>
        <w:t>greater than</w:t>
      </w:r>
      <w:r w:rsidRPr="00BF4C51">
        <w:t xml:space="preserve"> last year’s estimate of 153.8 MW.  Since the same exact methods and data used in last year’s evaluation were used this year, the only factor underlying the differences in the MW estimates is the enrollment forecast.  </w:t>
      </w:r>
      <w:r>
        <w:t>The enrollment forecast this year incorporates approximately 60,00</w:t>
      </w:r>
      <w:r w:rsidR="00F105AD">
        <w:t>0 embedded customers</w:t>
      </w:r>
      <w:r>
        <w:t xml:space="preserve"> wh</w:t>
      </w:r>
      <w:r w:rsidR="00AA47E8">
        <w:t>o</w:t>
      </w:r>
      <w:r w:rsidR="00F105AD">
        <w:t xml:space="preserve"> were left out last year because they</w:t>
      </w:r>
      <w:r>
        <w:t xml:space="preserve"> are on TOU meters</w:t>
      </w:r>
      <w:r w:rsidR="00043B2D">
        <w:t xml:space="preserve">, not </w:t>
      </w:r>
      <w:r w:rsidR="00D3329E">
        <w:t>s</w:t>
      </w:r>
      <w:r w:rsidR="00043B2D">
        <w:t xml:space="preserve">mart </w:t>
      </w:r>
      <w:r w:rsidR="00D3329E">
        <w:t>m</w:t>
      </w:r>
      <w:r w:rsidR="00043B2D">
        <w:t>eters</w:t>
      </w:r>
      <w:r>
        <w:t>.  These customers are responsible for the 15.1 MW increase in aggregate embedded load impacts.  On the other hand, the incremental projections are about 100,000 customers short of the projections last year because of new default timing for some customers, data acquisition issues, and data availability.  Also, customers with MV90 meters don’t get defaulted, a detail missed in last year’s forecast</w:t>
      </w:r>
      <w:r w:rsidR="00F105AD">
        <w:t xml:space="preserve">, </w:t>
      </w:r>
      <w:r w:rsidR="00043B2D">
        <w:t>and so</w:t>
      </w:r>
      <w:r w:rsidR="00F105AD">
        <w:t xml:space="preserve"> these customers are also left out of the forecasted enrollments</w:t>
      </w:r>
      <w:r>
        <w:t xml:space="preserve">.  </w:t>
      </w:r>
      <w:r w:rsidR="00207C71">
        <w:t xml:space="preserve">These are </w:t>
      </w:r>
      <w:r w:rsidR="00043B2D">
        <w:t xml:space="preserve">the reasons for the substantial drop in load impacts between 2011 and 2012.  </w:t>
      </w:r>
      <w:r>
        <w:t>In summary, d</w:t>
      </w:r>
      <w:r w:rsidRPr="00BF4C51">
        <w:t>ifferences in the methodology and assumptions used to produce the 2011 and 2012 enrollment forecasts are the reason for the differences in the MW estimates between 2011 and 2012.</w:t>
      </w:r>
      <w:r w:rsidRPr="009A7E83">
        <w:t xml:space="preserve">  </w:t>
      </w:r>
    </w:p>
    <w:p w:rsidR="00265FED" w:rsidRPr="009A7E83" w:rsidRDefault="00265FED" w:rsidP="00265FED">
      <w:pPr>
        <w:pStyle w:val="Heading2"/>
      </w:pPr>
      <w:bookmarkStart w:id="31" w:name="_Toc348688763"/>
      <w:bookmarkStart w:id="32" w:name="_Toc350519893"/>
      <w:r w:rsidRPr="00265FED">
        <w:t>Conclusions</w:t>
      </w:r>
      <w:bookmarkEnd w:id="31"/>
      <w:bookmarkEnd w:id="32"/>
    </w:p>
    <w:p w:rsidR="00265FED" w:rsidRPr="009A7E83" w:rsidRDefault="00265FED" w:rsidP="00265FED">
      <w:pPr>
        <w:pStyle w:val="BodyParagraph"/>
      </w:pPr>
      <w:r w:rsidRPr="009A7E83">
        <w:t xml:space="preserve">The magnitude of the incremental demand reductions associated with TOU customers is highly uncertain.  </w:t>
      </w:r>
      <w:r w:rsidR="00207C71" w:rsidRPr="009A7E83">
        <w:t>T</w:t>
      </w:r>
      <w:r w:rsidR="00207C71" w:rsidRPr="009A7E83">
        <w:rPr>
          <w:rFonts w:cs="Arial"/>
          <w:szCs w:val="20"/>
        </w:rPr>
        <w:t>here is little precedent for mandatory placement of small and medium non-r</w:t>
      </w:r>
      <w:r w:rsidR="00207C71">
        <w:rPr>
          <w:rFonts w:cs="Arial"/>
          <w:szCs w:val="20"/>
        </w:rPr>
        <w:t xml:space="preserve">esidential customers on </w:t>
      </w:r>
      <w:r w:rsidR="00207C71" w:rsidRPr="009A7E83">
        <w:rPr>
          <w:rFonts w:cs="Arial"/>
          <w:szCs w:val="20"/>
        </w:rPr>
        <w:t xml:space="preserve">TOU rates </w:t>
      </w:r>
      <w:r w:rsidR="00207C71">
        <w:rPr>
          <w:rFonts w:cs="Arial"/>
          <w:szCs w:val="20"/>
        </w:rPr>
        <w:t>similar to those that are being</w:t>
      </w:r>
      <w:r w:rsidR="00207C71" w:rsidRPr="009A7E83">
        <w:rPr>
          <w:rFonts w:cs="Arial"/>
          <w:szCs w:val="20"/>
        </w:rPr>
        <w:t xml:space="preserve"> implemented by PG&amp;E.  </w:t>
      </w:r>
      <w:r w:rsidRPr="009A7E83">
        <w:t>While several pilots studied mandatory TOU rates for small and/or medium C&amp;I customers, most of them are not sufficiently analogous to PG&amp;E’s scheduled implemen</w:t>
      </w:r>
      <w:r w:rsidR="00207C71">
        <w:t>tation of mandatory TOU rates.  Also, the researchers</w:t>
      </w:r>
      <w:r w:rsidRPr="009A7E83">
        <w:t xml:space="preserve"> were</w:t>
      </w:r>
      <w:r w:rsidR="00207C71">
        <w:t xml:space="preserve"> frequently</w:t>
      </w:r>
      <w:r w:rsidRPr="009A7E83">
        <w:t xml:space="preserve"> unable to implement an ideal research design.  Each study has at least one critical component that differs from PG&amp;E’s implementation of mandatory TOU rates; either the rate is substantially different, the enrollment process is not comparable, the underlying population differs or decades have elapsed since the study was completed.  In addition, the estimates of price responsiveness produced by these studies vary widely.  The incremental ex ante load impact estimates for non-residential TOU rates reflect this uncertainty and should be used with caution.  </w:t>
      </w:r>
    </w:p>
    <w:p w:rsidR="00265FED" w:rsidRDefault="00265FED" w:rsidP="00265FED">
      <w:pPr>
        <w:pStyle w:val="BodyParagraph"/>
      </w:pPr>
      <w:r w:rsidRPr="009A7E83">
        <w:t>On a per customer basis, the estimated demand reductions are small.  Without pre-enrollment data and adequate control groups to eliminate a</w:t>
      </w:r>
      <w:r w:rsidR="00207C71">
        <w:t xml:space="preserve">lternative explanations, it is </w:t>
      </w:r>
      <w:r w:rsidRPr="009A7E83">
        <w:t>difficult to attribute changes in</w:t>
      </w:r>
      <w:r w:rsidR="00D3329E">
        <w:t> </w:t>
      </w:r>
      <w:r w:rsidRPr="009A7E83">
        <w:t>electricity use to the implementation of mandatory non-re</w:t>
      </w:r>
      <w:r w:rsidR="00207C71">
        <w:t>sidential TOU rates.  And, t</w:t>
      </w:r>
      <w:r w:rsidRPr="009A7E83">
        <w:t>he ability to measure the effect of TOU rates is not only a function of the research design, but</w:t>
      </w:r>
      <w:r w:rsidR="00207C71">
        <w:t xml:space="preserve"> also</w:t>
      </w:r>
      <w:r w:rsidRPr="009A7E83">
        <w:t xml:space="preserve"> of the rates themselves.  PG&amp;E’s mandatory TOU prices are less concentrated than CPP rates or voluntary TOU rates, leading to weaker price signals and, in theory, smaller effects that are more difficult to detect.  Smaller percent reductions are harder to distinguish from normal variations in electricity use, making it difficult to eliminate the likelihood that observed differences are due to chance.</w:t>
      </w:r>
      <w:r w:rsidRPr="001156F0">
        <w:t xml:space="preserve">  </w:t>
      </w:r>
      <w:r>
        <w:t xml:space="preserve"> </w:t>
      </w:r>
    </w:p>
    <w:p w:rsidR="00265FED" w:rsidRDefault="00265FED">
      <w:pPr>
        <w:rPr>
          <w:rFonts w:ascii="Verdana" w:hAnsi="Verdana"/>
          <w:sz w:val="18"/>
        </w:rPr>
      </w:pPr>
      <w:r>
        <w:br w:type="page"/>
      </w:r>
    </w:p>
    <w:p w:rsidR="00265FED" w:rsidRDefault="00265FED" w:rsidP="00265FED">
      <w:pPr>
        <w:pStyle w:val="AppendixHeading"/>
        <w:ind w:left="2160" w:hanging="2160"/>
      </w:pPr>
      <w:bookmarkStart w:id="33" w:name="_Toc348688764"/>
      <w:bookmarkStart w:id="34" w:name="_Toc350519894"/>
      <w:r>
        <w:lastRenderedPageBreak/>
        <w:t>Empirical Evidence of Small and Medium Non-residential Price Response to Mandatory TOU</w:t>
      </w:r>
      <w:bookmarkEnd w:id="33"/>
      <w:bookmarkEnd w:id="34"/>
    </w:p>
    <w:p w:rsidR="00265FED" w:rsidRDefault="00265FED" w:rsidP="00265FED">
      <w:pPr>
        <w:pStyle w:val="BodyParagraph"/>
      </w:pPr>
      <w:r>
        <w:t>This section summarizes the empirical studies of TOU price response by small and medium non-residential customers.  It also includes an analysis of PG&amp;E's existing, voluntary TOU rates.  For both the prior research and new analysis, this section summarizes the study design</w:t>
      </w:r>
      <w:r w:rsidR="00247624">
        <w:t>s</w:t>
      </w:r>
      <w:r>
        <w:t xml:space="preserve"> and findings, with an emphasis on how the rates and participant populations are similar</w:t>
      </w:r>
      <w:r w:rsidR="00247624">
        <w:t xml:space="preserve"> to</w:t>
      </w:r>
      <w:r>
        <w:t xml:space="preserve"> or different from PG&amp;E’s mandatory TOU </w:t>
      </w:r>
      <w:r w:rsidR="00247624">
        <w:t>population and rates</w:t>
      </w:r>
      <w:r>
        <w:t xml:space="preserve">.  </w:t>
      </w:r>
    </w:p>
    <w:p w:rsidR="00265FED" w:rsidRPr="006A7BA7" w:rsidRDefault="00265FED" w:rsidP="00265FED">
      <w:pPr>
        <w:pStyle w:val="BodyParagraph"/>
        <w:rPr>
          <w:rFonts w:eastAsia="Calibri"/>
        </w:rPr>
      </w:pPr>
      <w:r>
        <w:t>The pricing studies reviewed as a basis for the ex ante impacts focused on small and medium sized customers (below 500 kW), TOU pricing structures and purely behavioral price response.  Sometimes, price response to different types of time-varying price signals such as critical peak pricing and peak time rebates are reported jointly with TOU rates, even though they are not in effect on a daily basis, rely on customer notification and have far stronger price signals.  We limited the review to studies that explicitly tested TOU rates.  It is not obvious that the price responsiveness to TOU rates is equivalent to responsiveness to CPP and PTR rates.  A number of studies analyzed impacts for time-varying rates in combination with enabling technology.  In reporting the results, the focus is on price response without enabling technologies since it is most analogous to PG&amp;E’s implementation of mandatory TOU</w:t>
      </w:r>
      <w:r w:rsidR="00046379">
        <w:t> </w:t>
      </w:r>
      <w:r>
        <w:t xml:space="preserve">rates.  Given the wide range of TOU prices tested, price </w:t>
      </w:r>
      <w:proofErr w:type="spellStart"/>
      <w:r>
        <w:t>elasticities</w:t>
      </w:r>
      <w:proofErr w:type="spellEnd"/>
      <w:r>
        <w:t xml:space="preserve"> were employed as a common metric for comparison.  </w:t>
      </w:r>
      <w:proofErr w:type="spellStart"/>
      <w:r>
        <w:t>Elasticities</w:t>
      </w:r>
      <w:proofErr w:type="spellEnd"/>
      <w:r>
        <w:t xml:space="preserve"> are a convenient parameter used by economists to summarize the relationship between changes in price and changes in usage.</w:t>
      </w:r>
    </w:p>
    <w:p w:rsidR="00265FED" w:rsidRDefault="00265FED" w:rsidP="00265FED">
      <w:pPr>
        <w:pStyle w:val="BodyParagraph"/>
      </w:pPr>
      <w:r>
        <w:t>In the review, we considered key characteristics of each study – the use of control groups, availability of p</w:t>
      </w:r>
      <w:r w:rsidR="00247624">
        <w:t>re-enrollment data, sample size and</w:t>
      </w:r>
      <w:r>
        <w:t xml:space="preserve"> TOU peak to off</w:t>
      </w:r>
      <w:r w:rsidR="00046379">
        <w:t>-</w:t>
      </w:r>
      <w:r>
        <w:t>peak price differences.  In addition, we summarize the results and factors that affect the applicability to PG&amp;E’s implementation of mandatory TOU rates such as the location of the study and the enrollment process.  To be useful, the results of a study must also hold for the customer segments of interest, the process used to enroll customers and the TOU rate design under consideration.  The inference is strongest when the TOU rates have time varying components and peak to off-peak price ratios similar to those in the existing studies.  In total</w:t>
      </w:r>
      <w:r w:rsidR="00BB47FE">
        <w:t>,</w:t>
      </w:r>
      <w:r>
        <w:t xml:space="preserve"> eight studies were included in the review, although many additional less relevant studies were examined.  Five of the studies explicitly tested price response to mandatory TOU by small or medium customers, while the remaining studies relied on voluntary recruitment into the rate or pilot.  With one exception, all of the studies relied on a control group and four of them relied on random assignment of customers to either a TOU rate or the control group.  Most studies lacked pre-enrollment data, which allows the researcher to confirm if observed differences were due to the TOU rates and not pre-existing conditions or random chance.  With a couple of exceptions, most studies relied on small sample sizes and/or modest peak to off-peak price ratios.  While several studies analyzed mandatory TOU rates, almost all of them focused on short run price response to TOU rates rather than long term response.  This is an important distinction since over the long run</w:t>
      </w:r>
      <w:r w:rsidR="00247624">
        <w:t>,</w:t>
      </w:r>
      <w:r>
        <w:t xml:space="preserve"> prices can influence not only operational decisions but also equipment purchases, which are not observable in short</w:t>
      </w:r>
      <w:r w:rsidR="00BB47FE">
        <w:t xml:space="preserve"> </w:t>
      </w:r>
      <w:r>
        <w:t>term studies.</w:t>
      </w:r>
    </w:p>
    <w:p w:rsidR="00265FED" w:rsidRDefault="00265FED" w:rsidP="00265FED">
      <w:pPr>
        <w:pStyle w:val="BodyParagraph"/>
      </w:pPr>
      <w:r>
        <w:t xml:space="preserve">Price </w:t>
      </w:r>
      <w:proofErr w:type="spellStart"/>
      <w:r>
        <w:t>elasticities</w:t>
      </w:r>
      <w:proofErr w:type="spellEnd"/>
      <w:r>
        <w:t xml:space="preserve"> in the studies vary widely.  Own price </w:t>
      </w:r>
      <w:proofErr w:type="spellStart"/>
      <w:r>
        <w:t>elasticities</w:t>
      </w:r>
      <w:proofErr w:type="spellEnd"/>
      <w:r>
        <w:t xml:space="preserve"> range from 0 to -0.08 and </w:t>
      </w:r>
      <w:proofErr w:type="spellStart"/>
      <w:r>
        <w:t>elasticities</w:t>
      </w:r>
      <w:proofErr w:type="spellEnd"/>
      <w:r>
        <w:t xml:space="preserve"> of substitution range from 0 to 0.21.  If we exclude a study of time-varying demand charges (</w:t>
      </w:r>
      <w:proofErr w:type="spellStart"/>
      <w:r>
        <w:t>Aigner</w:t>
      </w:r>
      <w:proofErr w:type="spellEnd"/>
      <w:r>
        <w:t xml:space="preserve"> 2005) and the California Statewide Pricing Pilot – where the authors urge caution due</w:t>
      </w:r>
      <w:r w:rsidR="008A3FBD">
        <w:t> </w:t>
      </w:r>
      <w:r>
        <w:t xml:space="preserve">to the high estimates – the </w:t>
      </w:r>
      <w:proofErr w:type="spellStart"/>
      <w:r>
        <w:t>elasticities</w:t>
      </w:r>
      <w:proofErr w:type="spellEnd"/>
      <w:r>
        <w:t xml:space="preserve"> of substitution range from 0 to 0.07. </w:t>
      </w:r>
    </w:p>
    <w:p w:rsidR="00265FED" w:rsidRDefault="00265FED" w:rsidP="00265FED">
      <w:pPr>
        <w:pStyle w:val="BodyParagraph"/>
      </w:pPr>
      <w:r>
        <w:lastRenderedPageBreak/>
        <w:t>For the 2011 evaluation, impacts were estimated for several of the existing PG&amp;E TOU rates using control groups developed using statistical matching methods.  Estimates were developed for six of the</w:t>
      </w:r>
      <w:r w:rsidR="00D3329E">
        <w:t> </w:t>
      </w:r>
      <w:r>
        <w:t xml:space="preserve">TOU rates available to small or medium non-residential customers on a voluntary basis – E19V, A6, AG4A, </w:t>
      </w:r>
      <w:r w:rsidRPr="00257127">
        <w:t>AG4B, AG5A and AG5B.</w:t>
      </w:r>
      <w:r>
        <w:t xml:space="preserve">  The first two rates are available for commercial and industrial customers and the latter four are for agricultural pump loads.  All of the rates included are voluntary – either customers must proactively enroll on the rate or they have an option to opt-out of the rate to a TOU rate with substantially smaller TOU priced differentials.  Because customers have been enrolled on these rates for multiple years, the</w:t>
      </w:r>
      <w:r w:rsidR="00247624">
        <w:t>ir</w:t>
      </w:r>
      <w:r>
        <w:t xml:space="preserve"> behavior reflects long-run response to TOU prices.</w:t>
      </w:r>
    </w:p>
    <w:p w:rsidR="00265FED" w:rsidRDefault="00265FED" w:rsidP="00265FED">
      <w:pPr>
        <w:pStyle w:val="BodyParagraph"/>
        <w:rPr>
          <w:rFonts w:cs="Arial"/>
        </w:rPr>
      </w:pPr>
      <w:r>
        <w:t>While the changes in electricity consumption from these PG&amp;E-specific estimates are consistent with pricing theory, the</w:t>
      </w:r>
      <w:r>
        <w:rPr>
          <w:rFonts w:cs="Arial"/>
        </w:rPr>
        <w:t xml:space="preserve"> estimated impacts are typically much larger than what was found in the literature.  The results for the small and medium business customers on A6 and E19 rates imply </w:t>
      </w:r>
      <w:proofErr w:type="spellStart"/>
      <w:r>
        <w:rPr>
          <w:rFonts w:cs="Arial"/>
        </w:rPr>
        <w:t>elasticities</w:t>
      </w:r>
      <w:proofErr w:type="spellEnd"/>
      <w:r>
        <w:rPr>
          <w:rFonts w:cs="Arial"/>
        </w:rPr>
        <w:t xml:space="preserve"> of substitution of 0.24 and 0.10, respectively.  </w:t>
      </w:r>
      <w:r w:rsidRPr="00CE592A">
        <w:rPr>
          <w:rFonts w:cs="Arial"/>
        </w:rPr>
        <w:t xml:space="preserve">The results for the agricultural customers imply </w:t>
      </w:r>
      <w:proofErr w:type="spellStart"/>
      <w:r w:rsidRPr="00CE592A">
        <w:rPr>
          <w:rFonts w:cs="Arial"/>
        </w:rPr>
        <w:t>elasticities</w:t>
      </w:r>
      <w:proofErr w:type="spellEnd"/>
      <w:r w:rsidRPr="00CE592A">
        <w:rPr>
          <w:rFonts w:cs="Arial"/>
        </w:rPr>
        <w:t xml:space="preserve"> of</w:t>
      </w:r>
      <w:r>
        <w:rPr>
          <w:rFonts w:cs="Arial"/>
        </w:rPr>
        <w:t xml:space="preserve"> substitution of</w:t>
      </w:r>
      <w:r w:rsidRPr="00CE592A">
        <w:rPr>
          <w:rFonts w:cs="Arial"/>
        </w:rPr>
        <w:t xml:space="preserve"> 0.</w:t>
      </w:r>
      <w:r>
        <w:rPr>
          <w:rFonts w:cs="Arial"/>
        </w:rPr>
        <w:t xml:space="preserve">32, </w:t>
      </w:r>
      <w:r w:rsidRPr="00CE592A">
        <w:rPr>
          <w:rFonts w:cs="Arial"/>
        </w:rPr>
        <w:t>0.</w:t>
      </w:r>
      <w:r>
        <w:rPr>
          <w:rFonts w:cs="Arial"/>
        </w:rPr>
        <w:t>22</w:t>
      </w:r>
      <w:r w:rsidRPr="00CE592A">
        <w:rPr>
          <w:rFonts w:cs="Arial"/>
        </w:rPr>
        <w:t xml:space="preserve">, </w:t>
      </w:r>
      <w:r>
        <w:rPr>
          <w:rFonts w:cs="Arial"/>
        </w:rPr>
        <w:t>0.27</w:t>
      </w:r>
      <w:r w:rsidRPr="00CE592A">
        <w:rPr>
          <w:rFonts w:cs="Arial"/>
        </w:rPr>
        <w:t xml:space="preserve"> and</w:t>
      </w:r>
      <w:r>
        <w:rPr>
          <w:rFonts w:cs="Arial"/>
        </w:rPr>
        <w:t xml:space="preserve"> 0.09 </w:t>
      </w:r>
      <w:r w:rsidRPr="00CE592A">
        <w:rPr>
          <w:rFonts w:cs="Arial"/>
        </w:rPr>
        <w:t>for customer</w:t>
      </w:r>
      <w:r>
        <w:rPr>
          <w:rFonts w:cs="Arial"/>
        </w:rPr>
        <w:t>s on the AG4A, AG4B, AG5A, AG5B</w:t>
      </w:r>
      <w:r w:rsidRPr="00CE592A">
        <w:rPr>
          <w:rFonts w:cs="Arial"/>
        </w:rPr>
        <w:t xml:space="preserve"> rates, respectively.</w:t>
      </w:r>
      <w:r>
        <w:rPr>
          <w:rFonts w:cs="Arial"/>
        </w:rPr>
        <w:t xml:space="preserve">  These large values could be due to hidden selection bias, the voluntary nature of the rates (assuming volunteers on average will be more price responsive than customers placed on mandatory rates) or the fact that these volunteers have typically been on the rates for a long time (so</w:t>
      </w:r>
      <w:r w:rsidR="00BB47FE">
        <w:rPr>
          <w:rFonts w:cs="Arial"/>
        </w:rPr>
        <w:t> </w:t>
      </w:r>
      <w:r>
        <w:rPr>
          <w:rFonts w:cs="Arial"/>
        </w:rPr>
        <w:t xml:space="preserve">the </w:t>
      </w:r>
      <w:proofErr w:type="spellStart"/>
      <w:r>
        <w:rPr>
          <w:rFonts w:cs="Arial"/>
        </w:rPr>
        <w:t>elasticities</w:t>
      </w:r>
      <w:proofErr w:type="spellEnd"/>
      <w:r>
        <w:rPr>
          <w:rFonts w:cs="Arial"/>
        </w:rPr>
        <w:t xml:space="preserve"> reflect equipment purchase decisions in addition to the behavioral changes that underlie impacts from short term pilots and recent volunteers).  The estimates might even reflect all three of the aforementioned possibilities.  Unfortunately, given the available data, it is impossible to determine which causal factors explain the large estimated price response.   </w:t>
      </w:r>
    </w:p>
    <w:p w:rsidR="00265FED" w:rsidRDefault="00265FED" w:rsidP="00265FED">
      <w:pPr>
        <w:pStyle w:val="BodyParagraph"/>
      </w:pPr>
      <w:r>
        <w:t>In light of the above, the analysis of PG&amp;E’s voluntary TOU rates is not conclusive and should be used</w:t>
      </w:r>
      <w:r w:rsidR="001277CC">
        <w:t> </w:t>
      </w:r>
      <w:r>
        <w:t>with caution.  The data available for the evaluation of PG&amp;E’s TOU rates is not ideal and relies on</w:t>
      </w:r>
      <w:r w:rsidR="001277CC">
        <w:t> </w:t>
      </w:r>
      <w:r w:rsidRPr="00C04D71">
        <w:t>control</w:t>
      </w:r>
      <w:r>
        <w:t> </w:t>
      </w:r>
      <w:r w:rsidRPr="00C04D71">
        <w:t>group</w:t>
      </w:r>
      <w:r>
        <w:t>s that are constructed after the fact using statistical matching methods</w:t>
      </w:r>
      <w:r w:rsidRPr="004D6F40">
        <w:t>.</w:t>
      </w:r>
      <w:r>
        <w:t xml:space="preserve">  While the control groups match the TOU customers well across observable characteristics, the lack of pre-enrollment data limits the ability to draw a causal conclusion.  Without it, we are unable to conclusively eliminate self-selection based on unobservable characteristics (hidden bias) as an</w:t>
      </w:r>
      <w:r w:rsidR="001277CC">
        <w:t> </w:t>
      </w:r>
      <w:r>
        <w:t xml:space="preserve">explanation for differences in load shapes. </w:t>
      </w:r>
    </w:p>
    <w:p w:rsidR="00265FED" w:rsidRDefault="00265FED" w:rsidP="00265FED">
      <w:pPr>
        <w:pStyle w:val="AppendixHeading2"/>
      </w:pPr>
      <w:bookmarkStart w:id="35" w:name="_Toc348688765"/>
      <w:bookmarkStart w:id="36" w:name="_Toc350519895"/>
      <w:r>
        <w:t xml:space="preserve">Prior Studies of Price Response </w:t>
      </w:r>
      <w:r w:rsidR="001277CC">
        <w:t>A</w:t>
      </w:r>
      <w:r>
        <w:t>mong Small and Medium Non-residential Customers</w:t>
      </w:r>
      <w:bookmarkEnd w:id="35"/>
      <w:bookmarkEnd w:id="36"/>
      <w:r>
        <w:t xml:space="preserve">  </w:t>
      </w:r>
    </w:p>
    <w:p w:rsidR="00265FED" w:rsidRDefault="00265FED" w:rsidP="00265FED">
      <w:pPr>
        <w:pStyle w:val="BodyParagraph"/>
      </w:pPr>
      <w:r w:rsidRPr="006A7BA7">
        <w:rPr>
          <w:rFonts w:eastAsia="Calibri"/>
        </w:rPr>
        <w:t>A large number of residential TOU pilot studies</w:t>
      </w:r>
      <w:r>
        <w:rPr>
          <w:rFonts w:eastAsia="Calibri"/>
        </w:rPr>
        <w:t xml:space="preserve"> have been</w:t>
      </w:r>
      <w:r w:rsidRPr="006A7BA7">
        <w:rPr>
          <w:rFonts w:eastAsia="Calibri"/>
        </w:rPr>
        <w:t xml:space="preserve"> conducted </w:t>
      </w:r>
      <w:r>
        <w:rPr>
          <w:rFonts w:eastAsia="Calibri"/>
        </w:rPr>
        <w:t xml:space="preserve">and </w:t>
      </w:r>
      <w:r w:rsidRPr="006A7BA7">
        <w:rPr>
          <w:rFonts w:eastAsia="Calibri"/>
        </w:rPr>
        <w:t>their results have been studied in some detail</w:t>
      </w:r>
      <w:r w:rsidRPr="006A7BA7">
        <w:t xml:space="preserve">.  </w:t>
      </w:r>
      <w:r>
        <w:t xml:space="preserve">Far fewer </w:t>
      </w:r>
      <w:r>
        <w:rPr>
          <w:rFonts w:eastAsia="Calibri"/>
        </w:rPr>
        <w:t>pilot TOU rate programs have been</w:t>
      </w:r>
      <w:r w:rsidRPr="006A7BA7">
        <w:rPr>
          <w:rFonts w:eastAsia="Calibri"/>
        </w:rPr>
        <w:t xml:space="preserve"> implemented for commercial and industrial customers with results reported publicly. </w:t>
      </w:r>
      <w:r w:rsidRPr="006A7BA7">
        <w:t xml:space="preserve"> </w:t>
      </w:r>
      <w:r>
        <w:rPr>
          <w:rFonts w:eastAsia="Calibri"/>
        </w:rPr>
        <w:t>Most of these studies are</w:t>
      </w:r>
      <w:r w:rsidRPr="006A7BA7">
        <w:rPr>
          <w:rFonts w:eastAsia="Calibri"/>
        </w:rPr>
        <w:t xml:space="preserve"> focused on</w:t>
      </w:r>
      <w:r w:rsidRPr="006A7BA7">
        <w:t xml:space="preserve"> commercial and industrial customers with max</w:t>
      </w:r>
      <w:r>
        <w:t>imum</w:t>
      </w:r>
      <w:r w:rsidRPr="006A7BA7">
        <w:t xml:space="preserve"> demand</w:t>
      </w:r>
      <w:r>
        <w:t>s</w:t>
      </w:r>
      <w:r w:rsidRPr="006A7BA7">
        <w:t xml:space="preserve"> above 500 kW (and </w:t>
      </w:r>
      <w:r>
        <w:t>usually much greater), not on small and medium business response to time-varying pricing</w:t>
      </w:r>
      <w:r w:rsidRPr="006A7BA7">
        <w:t>.</w:t>
      </w:r>
      <w:r>
        <w:rPr>
          <w:rStyle w:val="FootnoteReference"/>
          <w:rFonts w:cs="Arial"/>
          <w:szCs w:val="20"/>
        </w:rPr>
        <w:footnoteReference w:id="6"/>
      </w:r>
      <w:r w:rsidRPr="006A7BA7">
        <w:t xml:space="preserve"> </w:t>
      </w:r>
      <w:r>
        <w:t xml:space="preserve"> </w:t>
      </w:r>
    </w:p>
    <w:p w:rsidR="00265FED" w:rsidRPr="006A7BA7" w:rsidRDefault="00265FED" w:rsidP="00265FED">
      <w:pPr>
        <w:pStyle w:val="BodyParagraph"/>
        <w:rPr>
          <w:rFonts w:eastAsia="Calibri"/>
        </w:rPr>
      </w:pPr>
      <w:r>
        <w:t xml:space="preserve">The pricing studies summarized in this review focus on small and medium sized customers (below 500 kW), TOU rates and purely behavioral price response.  Studies of large customers (above 500 kW) are not included because they have limited relevance to estimating price response for the PG&amp;E customers </w:t>
      </w:r>
      <w:r>
        <w:lastRenderedPageBreak/>
        <w:t xml:space="preserve">scheduled to transition to mandatory TOU rates.  Sometimes, price response to different types of time-varying price signals such as critical peak pricing and peak time rebates, are reported jointly with TOU rates – even though they are not in effect on a daily basis, rely on customer notification and have far stronger price signals.  We limit the review to studies that explicitly tested TOU rates.  It is not obvious that the price responsiveness to TOU rates is equivalent to responsiveness to CPP and PTR rates.  A number of studies analyzed various types of rates in combination with enabling technology.  In reporting the results, the focus is on price response without enabling technologies since it is most analogous to PG&amp;E’s implementation of mandatory TOU rates. </w:t>
      </w:r>
    </w:p>
    <w:p w:rsidR="00265FED" w:rsidRDefault="00265FED" w:rsidP="00265FED">
      <w:pPr>
        <w:pStyle w:val="BodyParagraph"/>
        <w:rPr>
          <w:rFonts w:eastAsia="Calibri"/>
        </w:rPr>
      </w:pPr>
      <w:r w:rsidRPr="006A7BA7">
        <w:t>Methodology varies considerably across studies.  A number of the studies were done with control</w:t>
      </w:r>
      <w:r>
        <w:t xml:space="preserve"> and </w:t>
      </w:r>
      <w:r w:rsidRPr="006A7BA7">
        <w:t>treatment group</w:t>
      </w:r>
      <w:r>
        <w:t>s</w:t>
      </w:r>
      <w:r w:rsidRPr="006A7BA7">
        <w:t xml:space="preserve">, while others relied on </w:t>
      </w:r>
      <w:r>
        <w:t>within-subjects analysis alone</w:t>
      </w:r>
      <w:r w:rsidRPr="006A7BA7">
        <w:t xml:space="preserve">. </w:t>
      </w:r>
      <w:r w:rsidRPr="006A7BA7">
        <w:rPr>
          <w:rFonts w:eastAsia="Calibri"/>
        </w:rPr>
        <w:t xml:space="preserve"> </w:t>
      </w:r>
      <w:r>
        <w:rPr>
          <w:rFonts w:eastAsia="Calibri"/>
        </w:rPr>
        <w:t xml:space="preserve">Furthermore, the range of peak to off-peak ratios varies across studies.  </w:t>
      </w:r>
      <w:r w:rsidRPr="006A7BA7">
        <w:t xml:space="preserve">As such, the </w:t>
      </w:r>
      <w:r>
        <w:t>percentage reductions from such</w:t>
      </w:r>
      <w:r w:rsidRPr="006A7BA7">
        <w:t xml:space="preserve"> studies are often </w:t>
      </w:r>
      <w:r>
        <w:t>not c</w:t>
      </w:r>
      <w:r w:rsidRPr="006A7BA7">
        <w:t>omparable</w:t>
      </w:r>
      <w:r>
        <w:t xml:space="preserve"> without standardizing them into estimates of price </w:t>
      </w:r>
      <w:proofErr w:type="spellStart"/>
      <w:r>
        <w:t>elasticities</w:t>
      </w:r>
      <w:proofErr w:type="spellEnd"/>
      <w:r>
        <w:t xml:space="preserve">.  Most studies reviewed reported price-responsiveness using either own-price </w:t>
      </w:r>
      <w:proofErr w:type="spellStart"/>
      <w:r>
        <w:t>elasticities</w:t>
      </w:r>
      <w:proofErr w:type="spellEnd"/>
      <w:r>
        <w:t xml:space="preserve"> or the </w:t>
      </w:r>
      <w:r w:rsidRPr="006A7BA7">
        <w:rPr>
          <w:rFonts w:eastAsia="Calibri"/>
        </w:rPr>
        <w:t>elasticit</w:t>
      </w:r>
      <w:r>
        <w:rPr>
          <w:rFonts w:eastAsia="Calibri"/>
        </w:rPr>
        <w:t>y</w:t>
      </w:r>
      <w:r w:rsidRPr="006A7BA7">
        <w:rPr>
          <w:rFonts w:eastAsia="Calibri"/>
        </w:rPr>
        <w:t xml:space="preserve"> of substitution.</w:t>
      </w:r>
      <w:r>
        <w:rPr>
          <w:rFonts w:eastAsia="Calibri"/>
        </w:rPr>
        <w:t xml:space="preserve">  In some cases, the authors simply reported either the absolute or percent change in</w:t>
      </w:r>
      <w:r w:rsidR="001277CC">
        <w:rPr>
          <w:rFonts w:eastAsia="Calibri"/>
        </w:rPr>
        <w:t> </w:t>
      </w:r>
      <w:r>
        <w:rPr>
          <w:rFonts w:eastAsia="Calibri"/>
        </w:rPr>
        <w:t>electricity use.</w:t>
      </w:r>
    </w:p>
    <w:p w:rsidR="00265FED" w:rsidRDefault="00265FED" w:rsidP="00265FED">
      <w:pPr>
        <w:pStyle w:val="BodyParagraph"/>
      </w:pPr>
      <w:proofErr w:type="spellStart"/>
      <w:r>
        <w:t>Elasticities</w:t>
      </w:r>
      <w:proofErr w:type="spellEnd"/>
      <w:r>
        <w:t xml:space="preserve"> are a convenient parameter used by economists to summarize the relationship between changes in price and changes in usage.  W</w:t>
      </w:r>
      <w:r>
        <w:rPr>
          <w:rFonts w:eastAsia="Calibri"/>
        </w:rPr>
        <w:t xml:space="preserve">ith an own price elasticity, a negative value indicates that consumption decreases as price increases.  </w:t>
      </w:r>
      <w:r>
        <w:t>A larger elasticity value indicates more price sensitivity.  In contrast, the elasticity of substitution reflects how the relative prices between two goods, in this</w:t>
      </w:r>
      <w:r w:rsidR="008A3FBD">
        <w:t> </w:t>
      </w:r>
      <w:r>
        <w:t>case peak and off-peak energy, affect consumption patterns.  The higher the elasticity of substitution,</w:t>
      </w:r>
      <w:r w:rsidR="008A3FBD">
        <w:t> </w:t>
      </w:r>
      <w:r>
        <w:t>the more price responsive are customers and the greater the predicted peak reduction</w:t>
      </w:r>
      <w:r w:rsidR="008A3FBD">
        <w:t> </w:t>
      </w:r>
      <w:r>
        <w:t xml:space="preserve">and load shifting. </w:t>
      </w:r>
    </w:p>
    <w:p w:rsidR="00265FED" w:rsidRDefault="00265FED" w:rsidP="00265FED">
      <w:pPr>
        <w:pStyle w:val="BodyParagraph"/>
      </w:pPr>
      <w:r>
        <w:t>Table A-1</w:t>
      </w:r>
      <w:r w:rsidRPr="00F14449">
        <w:t xml:space="preserve"> </w:t>
      </w:r>
      <w:r>
        <w:t>summarizes key characteristics and results of the eight studies of</w:t>
      </w:r>
      <w:r w:rsidRPr="00F14449">
        <w:t xml:space="preserve"> commercial and industrial</w:t>
      </w:r>
      <w:r>
        <w:t xml:space="preserve"> customer price response.  Many more studies were examined but were deemed to be less relevant than the eight summarized in the table.  The relevant details from each study are included.  Many of the studies are complex and test a number of rates and enabling technologies.  In each instance, the price responsiveness absent enabling technology is listed.  The reports were reviewed in detail to obtain the most accurate information pertaining to the analysis of PG&amp;E’s TOU rates, but in some instances key technical details were not clear or were listed in companion reports that were not available.  All of the studies more or less estimated short</w:t>
      </w:r>
      <w:r w:rsidR="00D3329E">
        <w:t xml:space="preserve"> </w:t>
      </w:r>
      <w:r>
        <w:t xml:space="preserve">run price response.  Further, in nearly every study, time varying demand charges were converted into the kWh equivalent price (concentrated in the same rate period) needed to collect the same revenue.  This conversion is referred to as an effective kWh price.  However, it is not obvious that customers view or respond to consumption ($/kWh) and demand charges ($ per kW/month) in the same way.  </w:t>
      </w:r>
    </w:p>
    <w:p w:rsidR="00265FED" w:rsidRDefault="00265FED" w:rsidP="00265FED">
      <w:pPr>
        <w:pStyle w:val="BodyParagraph"/>
      </w:pPr>
      <w:r>
        <w:t>Four of the studies (</w:t>
      </w:r>
      <w:proofErr w:type="spellStart"/>
      <w:r>
        <w:t>Aigner</w:t>
      </w:r>
      <w:proofErr w:type="spellEnd"/>
      <w:r>
        <w:t xml:space="preserve"> 1985, </w:t>
      </w:r>
      <w:proofErr w:type="spellStart"/>
      <w:r>
        <w:t>Aigner</w:t>
      </w:r>
      <w:proofErr w:type="spellEnd"/>
      <w:r>
        <w:t xml:space="preserve"> 1994, Woo 1986 and GEP 2011) relied on randomly assigning study participants to treatment and control groups.  Three additional studies used a control group (CRA 2005, Brattle 2009 and </w:t>
      </w:r>
      <w:proofErr w:type="spellStart"/>
      <w:r w:rsidRPr="00D725DC">
        <w:t>Jessoe</w:t>
      </w:r>
      <w:proofErr w:type="spellEnd"/>
      <w:r w:rsidRPr="00D725DC">
        <w:t xml:space="preserve"> &amp; </w:t>
      </w:r>
      <w:proofErr w:type="spellStart"/>
      <w:r w:rsidRPr="00D725DC">
        <w:t>Rapson</w:t>
      </w:r>
      <w:proofErr w:type="spellEnd"/>
      <w:r w:rsidRPr="00D725DC">
        <w:t xml:space="preserve"> 2011</w:t>
      </w:r>
      <w:r>
        <w:t xml:space="preserve">) that was not developed through random assignment.  Although </w:t>
      </w:r>
      <w:proofErr w:type="spellStart"/>
      <w:r>
        <w:t>Jessoe</w:t>
      </w:r>
      <w:proofErr w:type="spellEnd"/>
      <w:r>
        <w:t xml:space="preserve"> &amp; </w:t>
      </w:r>
      <w:proofErr w:type="spellStart"/>
      <w:r>
        <w:t>Rapson</w:t>
      </w:r>
      <w:proofErr w:type="spellEnd"/>
      <w:r>
        <w:t xml:space="preserve"> did not develop a control through random assignment, they</w:t>
      </w:r>
      <w:r w:rsidR="001277CC">
        <w:t> </w:t>
      </w:r>
      <w:r>
        <w:t>restricted their analysis to customers above and below a mandatory cutoff rule that determined assignment, a design referred to as a regression discontinuity or a localized experiment.  As noted</w:t>
      </w:r>
      <w:r w:rsidR="001277CC">
        <w:t> </w:t>
      </w:r>
      <w:r>
        <w:t xml:space="preserve">earlier, for a comparison to be valid, it is critical that no systematic differences (including unobservable differences) exist between customers on TOU rates and customers in the control group.  </w:t>
      </w:r>
      <w:r>
        <w:lastRenderedPageBreak/>
        <w:t>Otherwise, it is possible that differences in electricity use patterns may not be due to the TOU rates</w:t>
      </w:r>
      <w:r w:rsidR="008A3FBD">
        <w:t> </w:t>
      </w:r>
      <w:r>
        <w:t xml:space="preserve">but due to differences between the customers who did and did not experience TOU rates.  </w:t>
      </w:r>
    </w:p>
    <w:p w:rsidR="00265FED" w:rsidRDefault="00265FED" w:rsidP="00265FED">
      <w:pPr>
        <w:pStyle w:val="BodyParagraph"/>
      </w:pPr>
      <w:r>
        <w:t xml:space="preserve">Except for the OG&amp;E study (GEP 2011), none of the studies included pre-enrollment data, and as a result were not able to net out pre-existing differences between the TOU and control groups.  With random assignment, pre-enrollment data is not absolutely necessary, but including it allows for verification that differences in load shapes were pre-existing (due to chance), which is of concern when sample sizes are small.  Pre-enrollment data also improves the precision of the estimates by allowing the authors to control for pre-existing differences or net them out.  One study (CAEC 2005) did not use pre-enrollment data or a control group and instead relied on changes in electricity use that occurred in conjunction seasonal differences in the TOU prices. </w:t>
      </w:r>
    </w:p>
    <w:p w:rsidR="001B0ACB" w:rsidRDefault="00265FED" w:rsidP="00265FED">
      <w:pPr>
        <w:pStyle w:val="BodyParagraph"/>
      </w:pPr>
      <w:r>
        <w:t>Except for the Israel Electric Company and Oklahoma Gas and Electric studies (</w:t>
      </w:r>
      <w:proofErr w:type="spellStart"/>
      <w:r>
        <w:t>Aigner</w:t>
      </w:r>
      <w:proofErr w:type="spellEnd"/>
      <w:r>
        <w:t xml:space="preserve"> 1994), the TOU</w:t>
      </w:r>
      <w:r w:rsidR="001277CC">
        <w:t> </w:t>
      </w:r>
      <w:r>
        <w:t>price signals were small in comparison to price signals used in more recent studies that relied on dynamic pricing (CPP, PTR) rather th</w:t>
      </w:r>
      <w:r w:rsidR="00E66A96">
        <w:t>an TOU.  For each study, Table A</w:t>
      </w:r>
      <w:r>
        <w:t>-1 reports a common measure of the strength of the incentive to reduce or shift electricity use – the peak to off-peak price ratio.  Aside from the aforementioned studies, peak to off-peak price ratios ranged from a low of 1.1 to a high of</w:t>
      </w:r>
      <w:r w:rsidR="00182842">
        <w:t> </w:t>
      </w:r>
      <w:r>
        <w:t>3.2.</w:t>
      </w:r>
    </w:p>
    <w:p w:rsidR="007419BF" w:rsidRDefault="007419BF" w:rsidP="00265FED">
      <w:pPr>
        <w:pStyle w:val="BodyParagraph"/>
        <w:sectPr w:rsidR="007419BF" w:rsidSect="00C623D7">
          <w:pgSz w:w="12240" w:h="15840"/>
          <w:pgMar w:top="1440" w:right="1440" w:bottom="1440" w:left="1440" w:header="720" w:footer="720" w:gutter="0"/>
          <w:pgNumType w:start="1"/>
          <w:cols w:space="720"/>
          <w:docGrid w:linePitch="360"/>
        </w:sectPr>
      </w:pPr>
    </w:p>
    <w:p w:rsidR="007419BF" w:rsidRPr="007419BF" w:rsidRDefault="007419BF" w:rsidP="007419BF">
      <w:pPr>
        <w:pStyle w:val="TableFigureCaption"/>
      </w:pPr>
      <w:r w:rsidRPr="007419BF">
        <w:lastRenderedPageBreak/>
        <w:t xml:space="preserve">Table A-1: Summary of Small and Medium C&amp;I Studies </w:t>
      </w:r>
    </w:p>
    <w:tbl>
      <w:tblPr>
        <w:tblW w:w="14311"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3" w:type="dxa"/>
          <w:right w:w="43" w:type="dxa"/>
        </w:tblCellMar>
        <w:tblLook w:val="04A0" w:firstRow="1" w:lastRow="0" w:firstColumn="1" w:lastColumn="0" w:noHBand="0" w:noVBand="1"/>
      </w:tblPr>
      <w:tblGrid>
        <w:gridCol w:w="1857"/>
        <w:gridCol w:w="1009"/>
        <w:gridCol w:w="1465"/>
        <w:gridCol w:w="1170"/>
        <w:gridCol w:w="1170"/>
        <w:gridCol w:w="1000"/>
        <w:gridCol w:w="1070"/>
        <w:gridCol w:w="1599"/>
        <w:gridCol w:w="960"/>
        <w:gridCol w:w="960"/>
        <w:gridCol w:w="960"/>
        <w:gridCol w:w="1091"/>
      </w:tblGrid>
      <w:tr w:rsidR="007419BF" w:rsidRPr="007419BF" w:rsidTr="007419BF">
        <w:trPr>
          <w:trHeight w:val="300"/>
          <w:jc w:val="center"/>
        </w:trPr>
        <w:tc>
          <w:tcPr>
            <w:tcW w:w="1857" w:type="dxa"/>
            <w:vMerge w:val="restart"/>
            <w:tcBorders>
              <w:right w:val="single" w:sz="4" w:space="0" w:color="FFFFFF" w:themeColor="background1"/>
            </w:tcBorders>
            <w:shd w:val="clear" w:color="000000" w:fill="1F497D"/>
            <w:noWrap/>
            <w:vAlign w:val="center"/>
            <w:hideMark/>
          </w:tcPr>
          <w:p w:rsidR="007419BF" w:rsidRPr="007419BF" w:rsidRDefault="007419BF" w:rsidP="007419BF">
            <w:pPr>
              <w:pStyle w:val="TableHeader"/>
              <w:rPr>
                <w:sz w:val="16"/>
                <w:szCs w:val="16"/>
              </w:rPr>
            </w:pPr>
            <w:r w:rsidRPr="007419BF">
              <w:rPr>
                <w:sz w:val="16"/>
                <w:szCs w:val="16"/>
              </w:rPr>
              <w:t>Study</w:t>
            </w:r>
          </w:p>
        </w:tc>
        <w:tc>
          <w:tcPr>
            <w:tcW w:w="1009" w:type="dxa"/>
            <w:vMerge w:val="restart"/>
            <w:tcBorders>
              <w:left w:val="single" w:sz="4" w:space="0" w:color="FFFFFF" w:themeColor="background1"/>
              <w:right w:val="single" w:sz="4" w:space="0" w:color="FFFFFF" w:themeColor="background1"/>
            </w:tcBorders>
            <w:shd w:val="clear" w:color="000000" w:fill="1F497D"/>
            <w:noWrap/>
            <w:vAlign w:val="center"/>
            <w:hideMark/>
          </w:tcPr>
          <w:p w:rsidR="007419BF" w:rsidRPr="007419BF" w:rsidRDefault="007419BF" w:rsidP="007419BF">
            <w:pPr>
              <w:pStyle w:val="TableHeader"/>
              <w:rPr>
                <w:sz w:val="16"/>
                <w:szCs w:val="16"/>
              </w:rPr>
            </w:pPr>
            <w:r w:rsidRPr="007419BF">
              <w:rPr>
                <w:sz w:val="16"/>
                <w:szCs w:val="16"/>
              </w:rPr>
              <w:t>Utility</w:t>
            </w:r>
          </w:p>
        </w:tc>
        <w:tc>
          <w:tcPr>
            <w:tcW w:w="1465"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Rate Type</w:t>
            </w:r>
          </w:p>
        </w:tc>
        <w:tc>
          <w:tcPr>
            <w:tcW w:w="1170"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Treatment sample size</w:t>
            </w:r>
          </w:p>
        </w:tc>
        <w:tc>
          <w:tcPr>
            <w:tcW w:w="1170"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Control group sample size</w:t>
            </w:r>
          </w:p>
        </w:tc>
        <w:tc>
          <w:tcPr>
            <w:tcW w:w="1000"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Enrollment Method</w:t>
            </w:r>
          </w:p>
        </w:tc>
        <w:tc>
          <w:tcPr>
            <w:tcW w:w="1070"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Peak to Off-Peak Price Ratios</w:t>
            </w:r>
          </w:p>
        </w:tc>
        <w:tc>
          <w:tcPr>
            <w:tcW w:w="1599" w:type="dxa"/>
            <w:vMerge w:val="restart"/>
            <w:tcBorders>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Data used in analysis</w:t>
            </w:r>
          </w:p>
        </w:tc>
        <w:tc>
          <w:tcPr>
            <w:tcW w:w="2880" w:type="dxa"/>
            <w:gridSpan w:val="3"/>
            <w:tcBorders>
              <w:left w:val="single" w:sz="4" w:space="0" w:color="FFFFFF" w:themeColor="background1"/>
              <w:bottom w:val="single" w:sz="4" w:space="0" w:color="FFFFFF" w:themeColor="background1"/>
              <w:right w:val="single" w:sz="4" w:space="0" w:color="FFFFFF" w:themeColor="background1"/>
            </w:tcBorders>
            <w:shd w:val="clear" w:color="000000" w:fill="1F497D"/>
            <w:noWrap/>
            <w:vAlign w:val="center"/>
            <w:hideMark/>
          </w:tcPr>
          <w:p w:rsidR="007419BF" w:rsidRPr="007419BF" w:rsidRDefault="007419BF" w:rsidP="007419BF">
            <w:pPr>
              <w:pStyle w:val="TableHeader"/>
              <w:rPr>
                <w:sz w:val="16"/>
                <w:szCs w:val="16"/>
              </w:rPr>
            </w:pPr>
            <w:r w:rsidRPr="007419BF">
              <w:rPr>
                <w:sz w:val="16"/>
                <w:szCs w:val="16"/>
              </w:rPr>
              <w:t xml:space="preserve">Own Price </w:t>
            </w:r>
            <w:proofErr w:type="spellStart"/>
            <w:r w:rsidRPr="007419BF">
              <w:rPr>
                <w:sz w:val="16"/>
                <w:szCs w:val="16"/>
              </w:rPr>
              <w:t>Elasticities</w:t>
            </w:r>
            <w:proofErr w:type="spellEnd"/>
          </w:p>
        </w:tc>
        <w:tc>
          <w:tcPr>
            <w:tcW w:w="1091" w:type="dxa"/>
            <w:vMerge w:val="restart"/>
            <w:tcBorders>
              <w:lef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Elasticity of Substitution</w:t>
            </w:r>
          </w:p>
        </w:tc>
      </w:tr>
      <w:tr w:rsidR="007419BF" w:rsidRPr="007419BF" w:rsidTr="007419BF">
        <w:trPr>
          <w:trHeight w:val="300"/>
          <w:jc w:val="center"/>
        </w:trPr>
        <w:tc>
          <w:tcPr>
            <w:tcW w:w="1857" w:type="dxa"/>
            <w:vMerge/>
            <w:tcBorders>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009"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465"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170"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170"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000"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070"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1599" w:type="dxa"/>
            <w:vMerge/>
            <w:tcBorders>
              <w:left w:val="single" w:sz="4" w:space="0" w:color="FFFFFF" w:themeColor="background1"/>
              <w:righ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On-Peak</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Off-Peak</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7419BF" w:rsidRPr="007419BF" w:rsidRDefault="007419BF" w:rsidP="007419BF">
            <w:pPr>
              <w:pStyle w:val="TableHeader"/>
              <w:rPr>
                <w:sz w:val="16"/>
                <w:szCs w:val="16"/>
              </w:rPr>
            </w:pPr>
            <w:r w:rsidRPr="007419BF">
              <w:rPr>
                <w:sz w:val="16"/>
                <w:szCs w:val="16"/>
              </w:rPr>
              <w:t>Daily</w:t>
            </w:r>
          </w:p>
        </w:tc>
        <w:tc>
          <w:tcPr>
            <w:tcW w:w="1091" w:type="dxa"/>
            <w:vMerge/>
            <w:tcBorders>
              <w:left w:val="single" w:sz="4" w:space="0" w:color="FFFFFF" w:themeColor="background1"/>
            </w:tcBorders>
            <w:vAlign w:val="center"/>
            <w:hideMark/>
          </w:tcPr>
          <w:p w:rsidR="007419BF" w:rsidRPr="007419BF" w:rsidRDefault="007419BF" w:rsidP="007419BF">
            <w:pPr>
              <w:pStyle w:val="TableHeader"/>
              <w:rPr>
                <w:rFonts w:eastAsia="Times New Roman" w:cs="Arial"/>
                <w:bCs/>
                <w:color w:val="FFFFFF"/>
                <w:sz w:val="16"/>
                <w:szCs w:val="16"/>
              </w:rPr>
            </w:pPr>
          </w:p>
        </w:tc>
      </w:tr>
      <w:tr w:rsidR="007419BF" w:rsidRPr="00D26BEB" w:rsidTr="007419BF">
        <w:trPr>
          <w:trHeight w:val="516"/>
          <w:jc w:val="center"/>
        </w:trPr>
        <w:tc>
          <w:tcPr>
            <w:tcW w:w="1857"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1. </w:t>
            </w:r>
            <w:proofErr w:type="spellStart"/>
            <w:r w:rsidRPr="007419BF">
              <w:rPr>
                <w:sz w:val="16"/>
                <w:szCs w:val="16"/>
              </w:rPr>
              <w:t>Aigner</w:t>
            </w:r>
            <w:proofErr w:type="spellEnd"/>
            <w:r w:rsidRPr="007419BF">
              <w:rPr>
                <w:sz w:val="16"/>
                <w:szCs w:val="16"/>
              </w:rPr>
              <w:t xml:space="preserve"> &amp; Hirschberg (1985)</w:t>
            </w:r>
          </w:p>
        </w:tc>
        <w:tc>
          <w:tcPr>
            <w:tcW w:w="100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SCE</w:t>
            </w: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TOU </w:t>
            </w:r>
          </w:p>
          <w:p w:rsidR="007419BF" w:rsidRPr="007419BF" w:rsidRDefault="007419BF" w:rsidP="002D663A">
            <w:pPr>
              <w:pStyle w:val="TableText"/>
              <w:spacing w:beforeLines="20" w:before="48" w:afterLines="20" w:after="48"/>
              <w:contextualSpacing/>
              <w:rPr>
                <w:sz w:val="16"/>
                <w:szCs w:val="16"/>
              </w:rPr>
            </w:pPr>
            <w:r w:rsidRPr="007419BF">
              <w:rPr>
                <w:sz w:val="16"/>
                <w:szCs w:val="16"/>
              </w:rPr>
              <w:t>(Demand charges)</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290</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160</w:t>
            </w:r>
          </w:p>
        </w:tc>
        <w:tc>
          <w:tcPr>
            <w:tcW w:w="1000"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Mandatory w/ qualified exemptions allowed </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1.2 to 2.5</w:t>
            </w:r>
          </w:p>
        </w:tc>
        <w:tc>
          <w:tcPr>
            <w:tcW w:w="159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Randomly assigned, control group, no pre-enrollment data</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 to .16</w:t>
            </w:r>
          </w:p>
        </w:tc>
      </w:tr>
      <w:tr w:rsidR="007419BF" w:rsidRPr="00D26BEB" w:rsidTr="007419BF">
        <w:trPr>
          <w:trHeight w:val="516"/>
          <w:jc w:val="center"/>
        </w:trPr>
        <w:tc>
          <w:tcPr>
            <w:tcW w:w="1857"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 (Consumption charges)</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290</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160</w:t>
            </w:r>
          </w:p>
        </w:tc>
        <w:tc>
          <w:tcPr>
            <w:tcW w:w="100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1.5 to 2.4</w:t>
            </w:r>
          </w:p>
        </w:tc>
        <w:tc>
          <w:tcPr>
            <w:tcW w:w="159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r>
      <w:tr w:rsidR="007419BF" w:rsidRPr="00D26BEB" w:rsidTr="007419BF">
        <w:trPr>
          <w:trHeight w:val="516"/>
          <w:jc w:val="center"/>
        </w:trPr>
        <w:tc>
          <w:tcPr>
            <w:tcW w:w="1857"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 Woo (1985)</w:t>
            </w:r>
          </w:p>
        </w:tc>
        <w:tc>
          <w:tcPr>
            <w:tcW w:w="100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PG&amp;E</w:t>
            </w: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420</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140</w:t>
            </w:r>
          </w:p>
        </w:tc>
        <w:tc>
          <w:tcPr>
            <w:tcW w:w="100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Mandatory</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Not stated</w:t>
            </w:r>
          </w:p>
        </w:tc>
        <w:tc>
          <w:tcPr>
            <w:tcW w:w="159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Randomly assigned, control group</w:t>
            </w:r>
          </w:p>
        </w:tc>
        <w:tc>
          <w:tcPr>
            <w:tcW w:w="96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-.02 to -.03 </w:t>
            </w:r>
          </w:p>
        </w:tc>
        <w:tc>
          <w:tcPr>
            <w:tcW w:w="96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-.03 to -.07 </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.01 to 0.05</w:t>
            </w:r>
            <w:r w:rsidRPr="007419BF">
              <w:rPr>
                <w:sz w:val="16"/>
                <w:szCs w:val="16"/>
                <w:vertAlign w:val="superscript"/>
              </w:rPr>
              <w:t>a</w:t>
            </w:r>
            <w:r w:rsidRPr="007419BF">
              <w:rPr>
                <w:sz w:val="16"/>
                <w:szCs w:val="16"/>
              </w:rPr>
              <w:t xml:space="preserve"> </w:t>
            </w:r>
          </w:p>
        </w:tc>
      </w:tr>
      <w:tr w:rsidR="007419BF" w:rsidRPr="00D26BEB" w:rsidTr="007419BF">
        <w:trPr>
          <w:trHeight w:val="552"/>
          <w:jc w:val="center"/>
        </w:trPr>
        <w:tc>
          <w:tcPr>
            <w:tcW w:w="1857"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3. </w:t>
            </w:r>
            <w:proofErr w:type="spellStart"/>
            <w:r w:rsidRPr="007419BF">
              <w:rPr>
                <w:sz w:val="16"/>
                <w:szCs w:val="16"/>
              </w:rPr>
              <w:t>Aigner</w:t>
            </w:r>
            <w:proofErr w:type="spellEnd"/>
            <w:r w:rsidRPr="007419BF">
              <w:rPr>
                <w:sz w:val="16"/>
                <w:szCs w:val="16"/>
              </w:rPr>
              <w:t xml:space="preserve">, Newman &amp; </w:t>
            </w:r>
            <w:proofErr w:type="spellStart"/>
            <w:r w:rsidRPr="007419BF">
              <w:rPr>
                <w:sz w:val="16"/>
                <w:szCs w:val="16"/>
              </w:rPr>
              <w:t>Tishler</w:t>
            </w:r>
            <w:proofErr w:type="spellEnd"/>
            <w:r w:rsidRPr="007419BF">
              <w:rPr>
                <w:sz w:val="16"/>
                <w:szCs w:val="16"/>
              </w:rPr>
              <w:t xml:space="preserve"> (1994)</w:t>
            </w:r>
          </w:p>
        </w:tc>
        <w:tc>
          <w:tcPr>
            <w:tcW w:w="100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Israel Electric Co.</w:t>
            </w: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290</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100</w:t>
            </w:r>
          </w:p>
        </w:tc>
        <w:tc>
          <w:tcPr>
            <w:tcW w:w="100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Mandatory</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 to 8</w:t>
            </w:r>
          </w:p>
        </w:tc>
        <w:tc>
          <w:tcPr>
            <w:tcW w:w="159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Randomly assigned control group</w:t>
            </w:r>
          </w:p>
        </w:tc>
        <w:tc>
          <w:tcPr>
            <w:tcW w:w="96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 to -0.08</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r>
      <w:tr w:rsidR="007419BF" w:rsidRPr="00D26BEB" w:rsidTr="007419BF">
        <w:trPr>
          <w:trHeight w:val="300"/>
          <w:jc w:val="center"/>
        </w:trPr>
        <w:tc>
          <w:tcPr>
            <w:tcW w:w="1857"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4. Charles River Associates (2005), Updated (2006)</w:t>
            </w:r>
          </w:p>
        </w:tc>
        <w:tc>
          <w:tcPr>
            <w:tcW w:w="100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California Statewide Pricing Pilot (SCE)</w:t>
            </w: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vMerge w:val="restart"/>
            <w:shd w:val="clear" w:color="000000" w:fill="FFFFFF"/>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140</w:t>
            </w:r>
          </w:p>
        </w:tc>
        <w:tc>
          <w:tcPr>
            <w:tcW w:w="1170" w:type="dxa"/>
            <w:vMerge w:val="restart"/>
            <w:shd w:val="clear" w:color="000000" w:fill="FFFFFF"/>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90</w:t>
            </w:r>
          </w:p>
        </w:tc>
        <w:tc>
          <w:tcPr>
            <w:tcW w:w="1000"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Voluntary</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1.7 to 2.9</w:t>
            </w:r>
          </w:p>
        </w:tc>
        <w:tc>
          <w:tcPr>
            <w:tcW w:w="159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Control group, no pre-enrollment data</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 to 0.21</w:t>
            </w:r>
            <w:r w:rsidRPr="007419BF">
              <w:rPr>
                <w:sz w:val="16"/>
                <w:szCs w:val="16"/>
                <w:vertAlign w:val="superscript"/>
              </w:rPr>
              <w:t>b</w:t>
            </w:r>
          </w:p>
        </w:tc>
      </w:tr>
      <w:tr w:rsidR="007419BF" w:rsidRPr="00D26BEB" w:rsidTr="007419BF">
        <w:trPr>
          <w:trHeight w:val="475"/>
          <w:jc w:val="center"/>
        </w:trPr>
        <w:tc>
          <w:tcPr>
            <w:tcW w:w="1857"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CPP/TOU (50% enabling tech)</w:t>
            </w:r>
          </w:p>
        </w:tc>
        <w:tc>
          <w:tcPr>
            <w:tcW w:w="117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17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1.5 to 20</w:t>
            </w:r>
          </w:p>
        </w:tc>
        <w:tc>
          <w:tcPr>
            <w:tcW w:w="159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 to 0.04</w:t>
            </w:r>
          </w:p>
        </w:tc>
      </w:tr>
      <w:tr w:rsidR="007419BF" w:rsidRPr="00D26BEB" w:rsidTr="007419BF">
        <w:trPr>
          <w:trHeight w:val="421"/>
          <w:jc w:val="center"/>
        </w:trPr>
        <w:tc>
          <w:tcPr>
            <w:tcW w:w="1857"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CPP/TOU (100% enabling tech)</w:t>
            </w:r>
          </w:p>
        </w:tc>
        <w:tc>
          <w:tcPr>
            <w:tcW w:w="117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17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1.5 to 10</w:t>
            </w:r>
          </w:p>
        </w:tc>
        <w:tc>
          <w:tcPr>
            <w:tcW w:w="159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 -.03 to 0.02</w:t>
            </w:r>
          </w:p>
        </w:tc>
      </w:tr>
      <w:tr w:rsidR="007419BF" w:rsidRPr="00D26BEB" w:rsidTr="007419BF">
        <w:trPr>
          <w:trHeight w:val="300"/>
          <w:jc w:val="center"/>
        </w:trPr>
        <w:tc>
          <w:tcPr>
            <w:tcW w:w="1857" w:type="dxa"/>
            <w:vMerge w:val="restart"/>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5. The Brattle Group (2009)</w:t>
            </w:r>
          </w:p>
        </w:tc>
        <w:tc>
          <w:tcPr>
            <w:tcW w:w="100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Connecticut Light &amp; Power</w:t>
            </w:r>
          </w:p>
        </w:tc>
        <w:tc>
          <w:tcPr>
            <w:tcW w:w="1465"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190</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60</w:t>
            </w:r>
          </w:p>
        </w:tc>
        <w:tc>
          <w:tcPr>
            <w:tcW w:w="1000"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Voluntary</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1.5 to 2.5</w:t>
            </w:r>
          </w:p>
        </w:tc>
        <w:tc>
          <w:tcPr>
            <w:tcW w:w="1599" w:type="dxa"/>
            <w:vMerge w:val="restart"/>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Control group, no pre-enrollment data</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r>
      <w:tr w:rsidR="007419BF" w:rsidRPr="00D26BEB" w:rsidTr="007419BF">
        <w:trPr>
          <w:trHeight w:val="300"/>
          <w:jc w:val="center"/>
        </w:trPr>
        <w:tc>
          <w:tcPr>
            <w:tcW w:w="1857"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465"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CPP</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190</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60</w:t>
            </w:r>
          </w:p>
        </w:tc>
        <w:tc>
          <w:tcPr>
            <w:tcW w:w="100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5 to 15</w:t>
            </w:r>
          </w:p>
        </w:tc>
        <w:tc>
          <w:tcPr>
            <w:tcW w:w="159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0.02</w:t>
            </w:r>
          </w:p>
        </w:tc>
      </w:tr>
      <w:tr w:rsidR="007419BF" w:rsidRPr="00D26BEB" w:rsidTr="007419BF">
        <w:trPr>
          <w:trHeight w:val="300"/>
          <w:jc w:val="center"/>
        </w:trPr>
        <w:tc>
          <w:tcPr>
            <w:tcW w:w="1857"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0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465"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PTR </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200</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60</w:t>
            </w:r>
          </w:p>
        </w:tc>
        <w:tc>
          <w:tcPr>
            <w:tcW w:w="1000"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5 to 10</w:t>
            </w:r>
          </w:p>
        </w:tc>
        <w:tc>
          <w:tcPr>
            <w:tcW w:w="1599" w:type="dxa"/>
            <w:vMerge/>
            <w:vAlign w:val="center"/>
            <w:hideMark/>
          </w:tcPr>
          <w:p w:rsidR="007419BF" w:rsidRPr="007419BF" w:rsidRDefault="007419BF" w:rsidP="002D663A">
            <w:pPr>
              <w:pStyle w:val="TableText"/>
              <w:spacing w:beforeLines="20" w:before="48" w:afterLines="20" w:after="48"/>
              <w:contextualSpacing/>
              <w:rPr>
                <w:sz w:val="16"/>
                <w:szCs w:val="16"/>
              </w:rPr>
            </w:pP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w:t>
            </w:r>
          </w:p>
        </w:tc>
      </w:tr>
      <w:tr w:rsidR="007419BF" w:rsidRPr="00D26BEB" w:rsidTr="007419BF">
        <w:trPr>
          <w:trHeight w:val="1020"/>
          <w:jc w:val="center"/>
        </w:trPr>
        <w:tc>
          <w:tcPr>
            <w:tcW w:w="1857"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6. Christensen Associated Energy Consulting (2005) </w:t>
            </w:r>
          </w:p>
        </w:tc>
        <w:tc>
          <w:tcPr>
            <w:tcW w:w="100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PG&amp;E and SCE</w:t>
            </w:r>
          </w:p>
        </w:tc>
        <w:tc>
          <w:tcPr>
            <w:tcW w:w="1465"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&gt;12,000</w:t>
            </w:r>
          </w:p>
        </w:tc>
        <w:tc>
          <w:tcPr>
            <w:tcW w:w="11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N/A</w:t>
            </w:r>
          </w:p>
        </w:tc>
        <w:tc>
          <w:tcPr>
            <w:tcW w:w="100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Mandatory</w:t>
            </w:r>
          </w:p>
        </w:tc>
        <w:tc>
          <w:tcPr>
            <w:tcW w:w="1070"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1.1 to 3.2 </w:t>
            </w:r>
          </w:p>
        </w:tc>
        <w:tc>
          <w:tcPr>
            <w:tcW w:w="159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Post enrollment data, seasonal change in TOU rates</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-.01 to -.03</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r>
      <w:tr w:rsidR="007419BF" w:rsidRPr="00D26BEB" w:rsidTr="007419BF">
        <w:trPr>
          <w:trHeight w:val="1188"/>
          <w:jc w:val="center"/>
        </w:trPr>
        <w:tc>
          <w:tcPr>
            <w:tcW w:w="1857"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7. </w:t>
            </w:r>
            <w:proofErr w:type="spellStart"/>
            <w:r w:rsidRPr="007419BF">
              <w:rPr>
                <w:sz w:val="16"/>
                <w:szCs w:val="16"/>
              </w:rPr>
              <w:t>Jessoe</w:t>
            </w:r>
            <w:proofErr w:type="spellEnd"/>
            <w:r w:rsidRPr="007419BF">
              <w:rPr>
                <w:sz w:val="16"/>
                <w:szCs w:val="16"/>
              </w:rPr>
              <w:t xml:space="preserve"> &amp; </w:t>
            </w:r>
            <w:proofErr w:type="spellStart"/>
            <w:r w:rsidRPr="007419BF">
              <w:rPr>
                <w:sz w:val="16"/>
                <w:szCs w:val="16"/>
              </w:rPr>
              <w:t>Rapson</w:t>
            </w:r>
            <w:proofErr w:type="spellEnd"/>
            <w:r w:rsidRPr="007419BF">
              <w:rPr>
                <w:sz w:val="16"/>
                <w:szCs w:val="16"/>
              </w:rPr>
              <w:t xml:space="preserve"> (2011)</w:t>
            </w:r>
          </w:p>
        </w:tc>
        <w:tc>
          <w:tcPr>
            <w:tcW w:w="100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United Illuminating</w:t>
            </w:r>
          </w:p>
        </w:tc>
        <w:tc>
          <w:tcPr>
            <w:tcW w:w="1465"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TOU</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102</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Not stated</w:t>
            </w:r>
          </w:p>
        </w:tc>
        <w:tc>
          <w:tcPr>
            <w:tcW w:w="100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Mandatory</w:t>
            </w:r>
          </w:p>
        </w:tc>
        <w:tc>
          <w:tcPr>
            <w:tcW w:w="10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1.6</w:t>
            </w:r>
          </w:p>
        </w:tc>
        <w:tc>
          <w:tcPr>
            <w:tcW w:w="159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Control group below mandatory cutoff, pre-enrollment data </w:t>
            </w:r>
          </w:p>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(lacked data on usage by rate period)  </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N.S.</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r>
      <w:tr w:rsidR="007419BF" w:rsidRPr="00D26BEB" w:rsidTr="007419BF">
        <w:trPr>
          <w:trHeight w:val="1020"/>
          <w:jc w:val="center"/>
        </w:trPr>
        <w:tc>
          <w:tcPr>
            <w:tcW w:w="1857"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8. Global Energy Partners (2011)</w:t>
            </w:r>
          </w:p>
        </w:tc>
        <w:tc>
          <w:tcPr>
            <w:tcW w:w="100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OG&amp;E</w:t>
            </w:r>
          </w:p>
        </w:tc>
        <w:tc>
          <w:tcPr>
            <w:tcW w:w="1465"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CPP (w/ web portal and/or enabling technology)</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98</w:t>
            </w:r>
          </w:p>
        </w:tc>
        <w:tc>
          <w:tcPr>
            <w:tcW w:w="11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240</w:t>
            </w:r>
          </w:p>
        </w:tc>
        <w:tc>
          <w:tcPr>
            <w:tcW w:w="100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Voluntary</w:t>
            </w:r>
          </w:p>
        </w:tc>
        <w:tc>
          <w:tcPr>
            <w:tcW w:w="107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6.4</w:t>
            </w:r>
          </w:p>
        </w:tc>
        <w:tc>
          <w:tcPr>
            <w:tcW w:w="1599" w:type="dxa"/>
            <w:shd w:val="clear" w:color="auto" w:fill="auto"/>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Randomly assigned, control group, pre-enrollment data</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 xml:space="preserve">-0.01 </w:t>
            </w:r>
          </w:p>
          <w:p w:rsidR="007419BF" w:rsidRPr="007419BF" w:rsidRDefault="007419BF" w:rsidP="002D663A">
            <w:pPr>
              <w:pStyle w:val="TableText"/>
              <w:spacing w:beforeLines="20" w:before="48" w:afterLines="20" w:after="48"/>
              <w:contextualSpacing/>
              <w:rPr>
                <w:sz w:val="16"/>
                <w:szCs w:val="16"/>
              </w:rPr>
            </w:pPr>
            <w:r w:rsidRPr="007419BF">
              <w:rPr>
                <w:sz w:val="16"/>
                <w:szCs w:val="16"/>
              </w:rPr>
              <w:t>to -.06c</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960"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c>
          <w:tcPr>
            <w:tcW w:w="1091" w:type="dxa"/>
            <w:shd w:val="clear" w:color="auto" w:fill="auto"/>
            <w:noWrap/>
            <w:vAlign w:val="center"/>
            <w:hideMark/>
          </w:tcPr>
          <w:p w:rsidR="007419BF" w:rsidRPr="007419BF" w:rsidRDefault="007419BF" w:rsidP="002D663A">
            <w:pPr>
              <w:pStyle w:val="TableText"/>
              <w:spacing w:beforeLines="20" w:before="48" w:afterLines="20" w:after="48"/>
              <w:contextualSpacing/>
              <w:rPr>
                <w:sz w:val="16"/>
                <w:szCs w:val="16"/>
              </w:rPr>
            </w:pPr>
            <w:r w:rsidRPr="007419BF">
              <w:rPr>
                <w:sz w:val="16"/>
                <w:szCs w:val="16"/>
              </w:rPr>
              <w:t>-</w:t>
            </w:r>
          </w:p>
        </w:tc>
      </w:tr>
    </w:tbl>
    <w:p w:rsidR="007419BF" w:rsidRPr="00E4313E" w:rsidRDefault="007419BF" w:rsidP="007419BF">
      <w:pPr>
        <w:pStyle w:val="Footnote"/>
        <w:spacing w:after="20"/>
      </w:pPr>
      <w:r w:rsidRPr="00E4313E">
        <w:rPr>
          <w:vertAlign w:val="superscript"/>
        </w:rPr>
        <w:t>a</w:t>
      </w:r>
      <w:r>
        <w:rPr>
          <w:vertAlign w:val="superscript"/>
        </w:rPr>
        <w:t xml:space="preserve"> </w:t>
      </w:r>
      <w:r w:rsidRPr="00E4313E">
        <w:t>Cross-price elasticity</w:t>
      </w:r>
      <w:r>
        <w:t>.</w:t>
      </w:r>
      <w:r w:rsidRPr="00E4313E">
        <w:t xml:space="preserve"> </w:t>
      </w:r>
    </w:p>
    <w:p w:rsidR="007419BF" w:rsidRDefault="007419BF" w:rsidP="007419BF">
      <w:pPr>
        <w:pStyle w:val="Footnote"/>
        <w:spacing w:after="20"/>
      </w:pPr>
      <w:r w:rsidRPr="00E4313E">
        <w:rPr>
          <w:vertAlign w:val="superscript"/>
        </w:rPr>
        <w:t>b</w:t>
      </w:r>
      <w:r>
        <w:rPr>
          <w:vertAlign w:val="superscript"/>
        </w:rPr>
        <w:t xml:space="preserve"> </w:t>
      </w:r>
      <w:r>
        <w:t>Results are statistically significant but a</w:t>
      </w:r>
      <w:r w:rsidRPr="00E4313E">
        <w:t>uthors caution that t</w:t>
      </w:r>
      <w:r>
        <w:t>he</w:t>
      </w:r>
      <w:r w:rsidRPr="00E4313E">
        <w:t xml:space="preserve"> magnitude of price elasticity estimates is </w:t>
      </w:r>
      <w:r>
        <w:t>outside of the range of prior studies.</w:t>
      </w:r>
    </w:p>
    <w:p w:rsidR="007419BF" w:rsidRDefault="007419BF" w:rsidP="007419BF">
      <w:pPr>
        <w:pStyle w:val="Footnote"/>
        <w:spacing w:after="20"/>
      </w:pPr>
      <w:r w:rsidRPr="00E4313E">
        <w:rPr>
          <w:vertAlign w:val="superscript"/>
        </w:rPr>
        <w:t>c</w:t>
      </w:r>
      <w:r>
        <w:rPr>
          <w:vertAlign w:val="superscript"/>
        </w:rPr>
        <w:t xml:space="preserve"> </w:t>
      </w:r>
      <w:r w:rsidRPr="00E4313E">
        <w:t xml:space="preserve">Price </w:t>
      </w:r>
      <w:proofErr w:type="spellStart"/>
      <w:r w:rsidRPr="00E4313E">
        <w:t>elasticities</w:t>
      </w:r>
      <w:proofErr w:type="spellEnd"/>
      <w:r w:rsidRPr="00E4313E">
        <w:t xml:space="preserve"> a</w:t>
      </w:r>
      <w:r>
        <w:t>re reported for the weekday CPP/TOU scenario, excluding cells with automated thermostat response</w:t>
      </w:r>
      <w:r w:rsidRPr="00E4313E">
        <w:t xml:space="preserve"> </w:t>
      </w:r>
      <w:r>
        <w:t>(Table 4-9).</w:t>
      </w:r>
    </w:p>
    <w:p w:rsidR="007419BF" w:rsidRDefault="007419BF" w:rsidP="00265FED">
      <w:pPr>
        <w:pStyle w:val="BodyParagraph"/>
        <w:sectPr w:rsidR="007419BF" w:rsidSect="007419BF">
          <w:headerReference w:type="default" r:id="rId24"/>
          <w:pgSz w:w="15840" w:h="12240" w:orient="landscape"/>
          <w:pgMar w:top="1440" w:right="1440" w:bottom="1440" w:left="1440" w:header="720" w:footer="720" w:gutter="0"/>
          <w:cols w:space="720"/>
          <w:docGrid w:linePitch="360"/>
        </w:sectPr>
      </w:pPr>
    </w:p>
    <w:p w:rsidR="007419BF" w:rsidRDefault="007419BF" w:rsidP="007419BF">
      <w:pPr>
        <w:pStyle w:val="BodyParagraph"/>
      </w:pPr>
      <w:r>
        <w:lastRenderedPageBreak/>
        <w:t>All else being equal</w:t>
      </w:r>
      <w:r w:rsidRPr="00257127">
        <w:t>, weaker price signals lead to smaller effects that are more difficult to distinguish from normal variat</w:t>
      </w:r>
      <w:r>
        <w:t>ion</w:t>
      </w:r>
      <w:r w:rsidRPr="00257127">
        <w:t xml:space="preserve"> in electricity use.  Unless relatively</w:t>
      </w:r>
      <w:r w:rsidRPr="00653B4A">
        <w:t xml:space="preserve"> large sample sizes are used, it is often difficult to eliminate the likelihood that observed differences are due to chance.</w:t>
      </w:r>
      <w:r>
        <w:t xml:space="preserve">  Except for Woo (1985) and CAEC (2005), the studies employed sample sizes below 300 customers and control groups that were generally smaller.  </w:t>
      </w:r>
      <w:r w:rsidRPr="00F14449">
        <w:t xml:space="preserve">Small sample sizes and lack of variation in price when compared with the inherently noisy nature </w:t>
      </w:r>
      <w:r>
        <w:t>of usage data can lead to statistically insignificant results</w:t>
      </w:r>
      <w:r w:rsidRPr="00F14449">
        <w:t>.</w:t>
      </w:r>
      <w:r>
        <w:t xml:space="preserve">  A statistically insignificant result simply means that the authors are unable to eliminate random chance as explanation for the differences.  It does not mean customers are not price responsive.</w:t>
      </w:r>
    </w:p>
    <w:p w:rsidR="007419BF" w:rsidRDefault="007419BF" w:rsidP="007419BF">
      <w:pPr>
        <w:pStyle w:val="BodyParagraph"/>
      </w:pPr>
      <w:r>
        <w:t>Half of the studies above show small, but significant price response for smaller customers on TOU and CPP/TOU rates.  However, a few studies f</w:t>
      </w:r>
      <w:r w:rsidR="00D3329E">
        <w:t>ou</w:t>
      </w:r>
      <w:r>
        <w:t xml:space="preserve">nd that price response is not statistically significant or do not report statistical significance.  In the SCE study, </w:t>
      </w:r>
      <w:proofErr w:type="spellStart"/>
      <w:r>
        <w:t>Aigner</w:t>
      </w:r>
      <w:proofErr w:type="spellEnd"/>
      <w:r>
        <w:t xml:space="preserve"> found that results were statistically significant for time varying demand charges but not so for consumption charges.  In the Connecticut pilot, The Brattle Group (2009) also found that the estimated daily and substitution </w:t>
      </w:r>
      <w:proofErr w:type="spellStart"/>
      <w:r>
        <w:t>elasticities</w:t>
      </w:r>
      <w:proofErr w:type="spellEnd"/>
      <w:r>
        <w:t xml:space="preserve"> were not statistically significantly different from zero.  </w:t>
      </w:r>
      <w:proofErr w:type="spellStart"/>
      <w:r>
        <w:t>Jessoe</w:t>
      </w:r>
      <w:proofErr w:type="spellEnd"/>
      <w:r>
        <w:t xml:space="preserve"> &amp; </w:t>
      </w:r>
      <w:proofErr w:type="spellStart"/>
      <w:r>
        <w:t>Rapson</w:t>
      </w:r>
      <w:proofErr w:type="spellEnd"/>
      <w:r>
        <w:t xml:space="preserve"> (2011) produced results that were mixed.  The authors lacked data on electricity consumption by rate period and instead analyzed whether the TOU rates affected the maximum demand observed over the course of a month during peak hours.  The initial results showed a weakly significant demand reduction of 4.6%.  The authors were concerned the reductions were really because of peak demand dropping back to normal levels after a transitory shock that pushed them above the mandatory TOU threshold; a phenomena known as mean reversion.  The authors use a false experiment (introduce a placebo) to determine if mean reversion occurred.  The placebo effect, a reduction of 2.2%, was not significantly different from zero (p. value of 0.24).</w:t>
      </w:r>
      <w:r>
        <w:rPr>
          <w:rStyle w:val="FootnoteReference"/>
        </w:rPr>
        <w:footnoteReference w:id="7"/>
      </w:r>
      <w:r>
        <w:t xml:space="preserve">  Nevertheless, the authors factored in the placebo results. </w:t>
      </w:r>
      <w:r w:rsidR="00012766">
        <w:t xml:space="preserve"> </w:t>
      </w:r>
      <w:r>
        <w:t>Once that was factored in, the results were not significant.  The California Statewide Pricing Pilot (CRA 2005) found statistically significant results for TOU that were larger than price responsiveness results from prior</w:t>
      </w:r>
      <w:r w:rsidR="00012766">
        <w:t> </w:t>
      </w:r>
      <w:r>
        <w:t xml:space="preserve">studies.  As a result, the authors cautioned against using those estimates.  </w:t>
      </w:r>
    </w:p>
    <w:p w:rsidR="007419BF" w:rsidRDefault="007419BF" w:rsidP="007419BF">
      <w:pPr>
        <w:pStyle w:val="BodyParagraph"/>
      </w:pPr>
      <w:r>
        <w:t>Overall, in these studies, own price elasticity results ranged from 0 to -0.08 and the elasticity of substitution ranged from 0 to 0.21.  If we exclude the California Statewide Pricing Pilot and the study that solely included time-varying demand charges (</w:t>
      </w:r>
      <w:proofErr w:type="spellStart"/>
      <w:r>
        <w:t>Aigner</w:t>
      </w:r>
      <w:proofErr w:type="spellEnd"/>
      <w:r>
        <w:t xml:space="preserve"> 2005), the elasticity of substitution results range from 0 to 0.07.  With a couple of exceptions, most studies relied on small sample sizes and/or modest peak to off-peak price ratios.  The peak to off-peak price ratios for the TOU rates that will become mandatory for small and medium businesses is approximately 1.15.  This is at the lower end</w:t>
      </w:r>
      <w:r w:rsidR="009338ED">
        <w:t> </w:t>
      </w:r>
      <w:r>
        <w:t>of the range of TOU rates tested in the above studies.  While several studies analyzed mandatory TOU rates, almost all of them focused on short run price response to TOU rates rather than long term response.  The sole exception is the CAEC 2005 study that analyzed impacts for customers who had been on mandatory TOU rates for approximately three years.  Together, these studies provide a</w:t>
      </w:r>
      <w:r w:rsidR="009338ED">
        <w:t> </w:t>
      </w:r>
      <w:r>
        <w:t>broad</w:t>
      </w:r>
      <w:r w:rsidR="009338ED">
        <w:t> </w:t>
      </w:r>
      <w:r>
        <w:t>set of benchmarks for likely TOU impacts over a range of different TOU prices and customer</w:t>
      </w:r>
      <w:r w:rsidR="009338ED">
        <w:t> </w:t>
      </w:r>
      <w:r>
        <w:t>populations.</w:t>
      </w:r>
    </w:p>
    <w:p w:rsidR="007419BF" w:rsidRDefault="007419BF" w:rsidP="00182842">
      <w:pPr>
        <w:pStyle w:val="AppendixHeading"/>
      </w:pPr>
      <w:bookmarkStart w:id="37" w:name="_Toc348688766"/>
      <w:bookmarkStart w:id="38" w:name="_Toc350519896"/>
      <w:r>
        <w:lastRenderedPageBreak/>
        <w:t xml:space="preserve">PG&amp;E’s Existing TOU </w:t>
      </w:r>
      <w:r w:rsidR="00427316">
        <w:t>R</w:t>
      </w:r>
      <w:r>
        <w:t>ate</w:t>
      </w:r>
      <w:r w:rsidR="003F6A1F">
        <w:t>s</w:t>
      </w:r>
      <w:bookmarkEnd w:id="37"/>
      <w:bookmarkEnd w:id="38"/>
      <w:r>
        <w:t xml:space="preserve"> </w:t>
      </w:r>
    </w:p>
    <w:p w:rsidR="003F6A1F" w:rsidRDefault="007419BF" w:rsidP="007419BF">
      <w:pPr>
        <w:pStyle w:val="BodyParagraph"/>
      </w:pPr>
      <w:r>
        <w:t>PG&amp;E has several existing TOU rates.  Larger PG&amp;E customers (above 200 kW) are required to be enrolled on a TOU rate.</w:t>
      </w:r>
      <w:r>
        <w:rPr>
          <w:rStyle w:val="FootnoteReference"/>
        </w:rPr>
        <w:footnoteReference w:id="8"/>
      </w:r>
      <w:r>
        <w:t xml:space="preserve">  To date, small and medium business customers have had the option of enrolling on TOU rates and many have done so.  </w:t>
      </w:r>
    </w:p>
    <w:p w:rsidR="003F6A1F" w:rsidRDefault="003F6A1F" w:rsidP="007419BF">
      <w:pPr>
        <w:pStyle w:val="BodyParagraph"/>
      </w:pPr>
      <w:r>
        <w:t>The data available for 2012 cannot be used to evaluate TOU impacts for several reasons.  All customers enrolled on TOU rates prior to 2012 self-selected onto these rates and their demand reductions are already embedded in PG&amp;E’s long term planning forecasts.  The voluntary TOU rates that currently enrolled SMB customers experience have considerably different price differentials than the mandatory TOU rates for SMB customers.  The price responsiveness of these customers is likely not indicative of what A1 and A10 customers will provide when faced with mandatory TOU.  Finally, the lack of pre-enrollment data for current TOU customers leads to an unclear causal relationship.  It raises the question of whether these customers enrolled on TOU rates because of their pre-existing load shapes or whether these participants changed their load shapes in response to TOU rates.  Without pre-enrollment data, even well-matched control groups are insufficient to infer causality.</w:t>
      </w:r>
    </w:p>
    <w:p w:rsidR="00D1175B" w:rsidRPr="00E66A96" w:rsidRDefault="00D1175B" w:rsidP="00D1175B">
      <w:pPr>
        <w:pStyle w:val="BodyParagraph"/>
      </w:pPr>
      <w:r>
        <w:t>For the</w:t>
      </w:r>
      <w:r w:rsidR="00E66A96">
        <w:t xml:space="preserve"> previous no</w:t>
      </w:r>
      <w:r w:rsidR="00A07E29">
        <w:t>n</w:t>
      </w:r>
      <w:r w:rsidR="00E66A96">
        <w:t>-residential TOU evaluation</w:t>
      </w:r>
      <w:r w:rsidR="00D3329E">
        <w:t>,</w:t>
      </w:r>
      <w:r w:rsidRPr="00E66A96">
        <w:rPr>
          <w:rStyle w:val="FootnoteReference"/>
        </w:rPr>
        <w:footnoteReference w:id="9"/>
      </w:r>
      <w:r>
        <w:t xml:space="preserve"> FSC attempted to analyze impacts of six TOU rates available to small or medium non-residential customers on a voluntary basis – E19V, A6, AG4A, </w:t>
      </w:r>
      <w:r w:rsidRPr="00257127">
        <w:t>AG4B, AG5A and AG5B.</w:t>
      </w:r>
      <w:r>
        <w:t xml:space="preserve">  The first two rates are available for commercial and industrial customers and the latter four a</w:t>
      </w:r>
      <w:r w:rsidR="00E66A96">
        <w:t xml:space="preserve">re for agricultural pump loads.  </w:t>
      </w:r>
      <w:r>
        <w:t>The evaluation results were</w:t>
      </w:r>
      <w:r w:rsidR="00A07E29">
        <w:t xml:space="preserve"> not</w:t>
      </w:r>
      <w:r>
        <w:t xml:space="preserve"> </w:t>
      </w:r>
      <w:r w:rsidR="003F6A1F">
        <w:t xml:space="preserve">conclusive and should be used with caution.  Due to the lack of pre-enrollment data, it </w:t>
      </w:r>
      <w:r>
        <w:t xml:space="preserve">was </w:t>
      </w:r>
      <w:r w:rsidR="003F6A1F">
        <w:t xml:space="preserve">not possible to attribute the differences in load shapes between customers on flat rates and those on TOU rates to the TOU rates.  </w:t>
      </w:r>
      <w:r>
        <w:t xml:space="preserve">As a reference, Table B-1 summarizes the results from the 2011 analysis. </w:t>
      </w:r>
      <w:r w:rsidR="00E66A96">
        <w:t xml:space="preserve"> </w:t>
      </w:r>
      <w:r>
        <w:t>For the details regarding the analysis method</w:t>
      </w:r>
      <w:r w:rsidR="00A07E29">
        <w:t>s</w:t>
      </w:r>
      <w:r w:rsidR="00E66A96">
        <w:t xml:space="preserve"> and conclusion</w:t>
      </w:r>
      <w:r w:rsidR="00A07E29">
        <w:t>s,</w:t>
      </w:r>
      <w:r w:rsidR="00E66A96">
        <w:t xml:space="preserve"> please refer to the</w:t>
      </w:r>
      <w:r w:rsidR="00A07E29">
        <w:t xml:space="preserve"> FSC</w:t>
      </w:r>
      <w:r w:rsidR="00E66A96">
        <w:t xml:space="preserve"> report, </w:t>
      </w:r>
      <w:r w:rsidR="00D3329E">
        <w:t>"</w:t>
      </w:r>
      <w:r w:rsidR="00C75BF6" w:rsidRPr="00C75BF6">
        <w:t>2011 Ex Ante Load Impacts for PG&amp;E’s Non-residential TOU Rates.</w:t>
      </w:r>
      <w:r w:rsidR="00D3329E">
        <w:t>"</w:t>
      </w:r>
    </w:p>
    <w:p w:rsidR="003F6A1F" w:rsidRDefault="003F6A1F" w:rsidP="003F6A1F">
      <w:pPr>
        <w:pStyle w:val="BodyParagraph"/>
      </w:pPr>
    </w:p>
    <w:p w:rsidR="007419BF" w:rsidRDefault="007419BF" w:rsidP="007419BF">
      <w:pPr>
        <w:pStyle w:val="BodyParagraph"/>
        <w:sectPr w:rsidR="007419BF" w:rsidSect="007419BF">
          <w:headerReference w:type="default" r:id="rId25"/>
          <w:pgSz w:w="12240" w:h="15840"/>
          <w:pgMar w:top="1440" w:right="1440" w:bottom="1440" w:left="1440" w:header="720" w:footer="720" w:gutter="0"/>
          <w:cols w:space="720"/>
          <w:docGrid w:linePitch="360"/>
        </w:sectPr>
      </w:pPr>
    </w:p>
    <w:p w:rsidR="007419BF" w:rsidRPr="007419BF" w:rsidRDefault="00D1175B" w:rsidP="007419BF">
      <w:pPr>
        <w:pStyle w:val="TableFigureCaption"/>
      </w:pPr>
      <w:r>
        <w:lastRenderedPageBreak/>
        <w:t>Table B-1</w:t>
      </w:r>
      <w:r w:rsidR="007419BF" w:rsidRPr="007419BF">
        <w:t xml:space="preserve">: </w:t>
      </w:r>
      <w:r>
        <w:t xml:space="preserve">2011 </w:t>
      </w:r>
      <w:r w:rsidR="007419BF" w:rsidRPr="007419BF">
        <w:t xml:space="preserve">Comparison of TOU and Control Groups – Differences in Electricity Use and Implied </w:t>
      </w:r>
      <w:proofErr w:type="spellStart"/>
      <w:r w:rsidR="007419BF" w:rsidRPr="007419BF">
        <w:t>Elasticities</w:t>
      </w:r>
      <w:proofErr w:type="spellEnd"/>
      <w:r w:rsidR="007419BF" w:rsidRPr="007419BF">
        <w:t xml:space="preserve"> of Substitution</w:t>
      </w:r>
      <w:r>
        <w:rPr>
          <w:rStyle w:val="FootnoteReference"/>
        </w:rPr>
        <w:footnoteReference w:id="10"/>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577"/>
        <w:gridCol w:w="1500"/>
        <w:gridCol w:w="1527"/>
        <w:gridCol w:w="1577"/>
        <w:gridCol w:w="1524"/>
        <w:gridCol w:w="1220"/>
        <w:gridCol w:w="1220"/>
        <w:gridCol w:w="1449"/>
      </w:tblGrid>
      <w:tr w:rsidR="007419BF" w:rsidRPr="00E72E66" w:rsidTr="009338ED">
        <w:trPr>
          <w:trHeight w:val="684"/>
        </w:trPr>
        <w:tc>
          <w:tcPr>
            <w:tcW w:w="1582" w:type="dxa"/>
            <w:tcBorders>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Rate Type</w:t>
            </w:r>
          </w:p>
        </w:tc>
        <w:tc>
          <w:tcPr>
            <w:tcW w:w="1577" w:type="dxa"/>
            <w:tcBorders>
              <w:left w:val="single" w:sz="4" w:space="0" w:color="FFFFFF" w:themeColor="background1"/>
              <w:right w:val="single" w:sz="4" w:space="0" w:color="FFFFFF" w:themeColor="background1"/>
            </w:tcBorders>
            <w:shd w:val="clear" w:color="000000" w:fill="376091"/>
            <w:noWrap/>
            <w:vAlign w:val="center"/>
            <w:hideMark/>
          </w:tcPr>
          <w:p w:rsidR="007419BF" w:rsidRPr="00E72E66" w:rsidRDefault="007419BF" w:rsidP="007419BF">
            <w:pPr>
              <w:pStyle w:val="TableHeader"/>
            </w:pPr>
            <w:r w:rsidRPr="00E72E66">
              <w:t>Rate</w:t>
            </w:r>
          </w:p>
        </w:tc>
        <w:tc>
          <w:tcPr>
            <w:tcW w:w="1500" w:type="dxa"/>
            <w:tcBorders>
              <w:left w:val="single" w:sz="4" w:space="0" w:color="FFFFFF" w:themeColor="background1"/>
              <w:right w:val="single" w:sz="4" w:space="0" w:color="FFFFFF" w:themeColor="background1"/>
            </w:tcBorders>
            <w:shd w:val="clear" w:color="000000" w:fill="376091"/>
            <w:noWrap/>
            <w:vAlign w:val="center"/>
            <w:hideMark/>
          </w:tcPr>
          <w:p w:rsidR="007419BF" w:rsidRPr="00E72E66" w:rsidRDefault="007419BF" w:rsidP="007419BF">
            <w:pPr>
              <w:pStyle w:val="TableHeader"/>
            </w:pPr>
            <w:r w:rsidRPr="00E72E66">
              <w:t>Period</w:t>
            </w:r>
          </w:p>
        </w:tc>
        <w:tc>
          <w:tcPr>
            <w:tcW w:w="1527" w:type="dxa"/>
            <w:tcBorders>
              <w:left w:val="single" w:sz="4" w:space="0" w:color="FFFFFF" w:themeColor="background1"/>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TOU share of electricity use</w:t>
            </w:r>
          </w:p>
        </w:tc>
        <w:tc>
          <w:tcPr>
            <w:tcW w:w="1577" w:type="dxa"/>
            <w:tcBorders>
              <w:left w:val="single" w:sz="4" w:space="0" w:color="FFFFFF" w:themeColor="background1"/>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Control share of electricity use</w:t>
            </w:r>
          </w:p>
        </w:tc>
        <w:tc>
          <w:tcPr>
            <w:tcW w:w="1524" w:type="dxa"/>
            <w:tcBorders>
              <w:left w:val="single" w:sz="4" w:space="0" w:color="FFFFFF" w:themeColor="background1"/>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Difference (Percentage points)</w:t>
            </w:r>
          </w:p>
        </w:tc>
        <w:tc>
          <w:tcPr>
            <w:tcW w:w="1220" w:type="dxa"/>
            <w:tcBorders>
              <w:left w:val="single" w:sz="4" w:space="0" w:color="FFFFFF" w:themeColor="background1"/>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 Change</w:t>
            </w:r>
          </w:p>
        </w:tc>
        <w:tc>
          <w:tcPr>
            <w:tcW w:w="1220" w:type="dxa"/>
            <w:tcBorders>
              <w:left w:val="single" w:sz="4" w:space="0" w:color="FFFFFF" w:themeColor="background1"/>
              <w:right w:val="single" w:sz="4" w:space="0" w:color="FFFFFF" w:themeColor="background1"/>
            </w:tcBorders>
            <w:shd w:val="clear" w:color="000000" w:fill="376091"/>
            <w:vAlign w:val="center"/>
            <w:hideMark/>
          </w:tcPr>
          <w:p w:rsidR="007419BF" w:rsidRPr="00E72E66" w:rsidRDefault="007419BF" w:rsidP="007419BF">
            <w:pPr>
              <w:pStyle w:val="TableHeader"/>
            </w:pPr>
            <w:r w:rsidRPr="00E72E66">
              <w:t>t-stat</w:t>
            </w:r>
          </w:p>
        </w:tc>
        <w:tc>
          <w:tcPr>
            <w:tcW w:w="1449" w:type="dxa"/>
            <w:tcBorders>
              <w:left w:val="single" w:sz="4" w:space="0" w:color="FFFFFF" w:themeColor="background1"/>
            </w:tcBorders>
            <w:shd w:val="clear" w:color="000000" w:fill="376091"/>
            <w:vAlign w:val="center"/>
            <w:hideMark/>
          </w:tcPr>
          <w:p w:rsidR="007419BF" w:rsidRPr="00E72E66" w:rsidRDefault="007419BF" w:rsidP="007419BF">
            <w:pPr>
              <w:pStyle w:val="TableHeader"/>
            </w:pPr>
            <w:r>
              <w:t>Implied Elasticity of Substitution</w:t>
            </w:r>
          </w:p>
        </w:tc>
      </w:tr>
      <w:tr w:rsidR="007419BF" w:rsidRPr="00E72E66" w:rsidTr="009338ED">
        <w:trPr>
          <w:trHeight w:val="432"/>
        </w:trPr>
        <w:tc>
          <w:tcPr>
            <w:tcW w:w="1582" w:type="dxa"/>
            <w:vMerge w:val="restart"/>
            <w:shd w:val="clear" w:color="auto" w:fill="auto"/>
            <w:vAlign w:val="center"/>
            <w:hideMark/>
          </w:tcPr>
          <w:p w:rsidR="007419BF" w:rsidRPr="00E72E66" w:rsidRDefault="007419BF" w:rsidP="007419BF">
            <w:pPr>
              <w:pStyle w:val="TableText"/>
            </w:pPr>
            <w:r w:rsidRPr="00E72E66">
              <w:t>Commercial and Industrial</w:t>
            </w:r>
          </w:p>
        </w:tc>
        <w:tc>
          <w:tcPr>
            <w:tcW w:w="1577" w:type="dxa"/>
            <w:vMerge w:val="restart"/>
            <w:shd w:val="clear" w:color="auto" w:fill="auto"/>
            <w:vAlign w:val="center"/>
            <w:hideMark/>
          </w:tcPr>
          <w:p w:rsidR="007419BF" w:rsidRDefault="007419BF" w:rsidP="007419BF">
            <w:pPr>
              <w:pStyle w:val="TableText"/>
            </w:pPr>
            <w:r>
              <w:t xml:space="preserve">A6 </w:t>
            </w:r>
          </w:p>
          <w:p w:rsidR="007419BF" w:rsidRPr="00E72E66" w:rsidRDefault="007419BF" w:rsidP="007419BF">
            <w:pPr>
              <w:pStyle w:val="TableText"/>
            </w:pPr>
            <w:r>
              <w:t>(</w:t>
            </w:r>
            <w:proofErr w:type="spellStart"/>
            <w:r>
              <w:t>n</w:t>
            </w:r>
            <w:r w:rsidRPr="00E72E66">
              <w:rPr>
                <w:vertAlign w:val="subscript"/>
              </w:rPr>
              <w:t>t</w:t>
            </w:r>
            <w:proofErr w:type="spellEnd"/>
            <w:r w:rsidRPr="00E72E66">
              <w:t xml:space="preserve">=1389, </w:t>
            </w:r>
            <w:proofErr w:type="spellStart"/>
            <w:r w:rsidRPr="00E72E66">
              <w:t>n</w:t>
            </w:r>
            <w:r w:rsidRPr="00E72E66">
              <w:rPr>
                <w:vertAlign w:val="subscript"/>
              </w:rPr>
              <w:t>c</w:t>
            </w:r>
            <w:proofErr w:type="spellEnd"/>
            <w:r w:rsidRPr="00E72E66">
              <w:t>=929)</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21.8%</w:t>
            </w:r>
          </w:p>
        </w:tc>
        <w:tc>
          <w:tcPr>
            <w:tcW w:w="1577" w:type="dxa"/>
            <w:shd w:val="clear" w:color="auto" w:fill="auto"/>
            <w:noWrap/>
            <w:vAlign w:val="center"/>
            <w:hideMark/>
          </w:tcPr>
          <w:p w:rsidR="007419BF" w:rsidRPr="00E72E66" w:rsidRDefault="007419BF" w:rsidP="007419BF">
            <w:pPr>
              <w:pStyle w:val="TableText"/>
            </w:pPr>
            <w:r w:rsidRPr="00E72E66">
              <w:t>31.6%</w:t>
            </w:r>
          </w:p>
        </w:tc>
        <w:tc>
          <w:tcPr>
            <w:tcW w:w="1524" w:type="dxa"/>
            <w:shd w:val="clear" w:color="auto" w:fill="auto"/>
            <w:noWrap/>
            <w:vAlign w:val="center"/>
            <w:hideMark/>
          </w:tcPr>
          <w:p w:rsidR="007419BF" w:rsidRPr="00E72E66" w:rsidRDefault="007419BF" w:rsidP="007419BF">
            <w:pPr>
              <w:pStyle w:val="TableText"/>
            </w:pPr>
            <w:r w:rsidRPr="00E72E66">
              <w:t>-9.7%</w:t>
            </w:r>
          </w:p>
        </w:tc>
        <w:tc>
          <w:tcPr>
            <w:tcW w:w="1220" w:type="dxa"/>
            <w:shd w:val="clear" w:color="auto" w:fill="auto"/>
            <w:noWrap/>
            <w:vAlign w:val="center"/>
            <w:hideMark/>
          </w:tcPr>
          <w:p w:rsidR="007419BF" w:rsidRPr="00E72E66" w:rsidRDefault="007419BF" w:rsidP="007419BF">
            <w:pPr>
              <w:pStyle w:val="TableText"/>
            </w:pPr>
            <w:r w:rsidRPr="00E72E66">
              <w:t>-30.8%</w:t>
            </w:r>
          </w:p>
        </w:tc>
        <w:tc>
          <w:tcPr>
            <w:tcW w:w="1220" w:type="dxa"/>
            <w:shd w:val="clear" w:color="auto" w:fill="auto"/>
            <w:noWrap/>
            <w:vAlign w:val="center"/>
            <w:hideMark/>
          </w:tcPr>
          <w:p w:rsidR="007419BF" w:rsidRPr="00E72E66" w:rsidRDefault="007419BF" w:rsidP="007419BF">
            <w:pPr>
              <w:pStyle w:val="TableText"/>
            </w:pPr>
            <w:r w:rsidRPr="00E72E66">
              <w:t>-15.23</w:t>
            </w:r>
          </w:p>
        </w:tc>
        <w:tc>
          <w:tcPr>
            <w:tcW w:w="1449" w:type="dxa"/>
            <w:vMerge w:val="restart"/>
            <w:shd w:val="clear" w:color="auto" w:fill="auto"/>
            <w:noWrap/>
            <w:vAlign w:val="center"/>
            <w:hideMark/>
          </w:tcPr>
          <w:p w:rsidR="007419BF" w:rsidRDefault="007419BF" w:rsidP="007419BF">
            <w:pPr>
              <w:pStyle w:val="TableText"/>
            </w:pPr>
            <w:r>
              <w:t>0.24</w:t>
            </w: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 xml:space="preserve">Part-Peak </w:t>
            </w:r>
          </w:p>
        </w:tc>
        <w:tc>
          <w:tcPr>
            <w:tcW w:w="1527" w:type="dxa"/>
            <w:shd w:val="clear" w:color="auto" w:fill="auto"/>
            <w:noWrap/>
            <w:vAlign w:val="center"/>
            <w:hideMark/>
          </w:tcPr>
          <w:p w:rsidR="007419BF" w:rsidRPr="00E72E66" w:rsidRDefault="007419BF" w:rsidP="007419BF">
            <w:pPr>
              <w:pStyle w:val="TableText"/>
            </w:pPr>
            <w:r w:rsidRPr="00E72E66">
              <w:t>29.2%</w:t>
            </w:r>
          </w:p>
        </w:tc>
        <w:tc>
          <w:tcPr>
            <w:tcW w:w="1577" w:type="dxa"/>
            <w:shd w:val="clear" w:color="auto" w:fill="auto"/>
            <w:noWrap/>
            <w:vAlign w:val="center"/>
            <w:hideMark/>
          </w:tcPr>
          <w:p w:rsidR="007419BF" w:rsidRPr="00E72E66" w:rsidRDefault="007419BF" w:rsidP="007419BF">
            <w:pPr>
              <w:pStyle w:val="TableText"/>
            </w:pPr>
            <w:r w:rsidRPr="00E72E66">
              <w:t>31.4%</w:t>
            </w:r>
          </w:p>
        </w:tc>
        <w:tc>
          <w:tcPr>
            <w:tcW w:w="1524" w:type="dxa"/>
            <w:shd w:val="clear" w:color="auto" w:fill="auto"/>
            <w:noWrap/>
            <w:vAlign w:val="center"/>
            <w:hideMark/>
          </w:tcPr>
          <w:p w:rsidR="007419BF" w:rsidRPr="00E72E66" w:rsidRDefault="007419BF" w:rsidP="007419BF">
            <w:pPr>
              <w:pStyle w:val="TableText"/>
            </w:pPr>
            <w:r w:rsidRPr="00E72E66">
              <w:t>-2.2%</w:t>
            </w:r>
          </w:p>
        </w:tc>
        <w:tc>
          <w:tcPr>
            <w:tcW w:w="1220" w:type="dxa"/>
            <w:shd w:val="clear" w:color="auto" w:fill="auto"/>
            <w:noWrap/>
            <w:vAlign w:val="center"/>
            <w:hideMark/>
          </w:tcPr>
          <w:p w:rsidR="007419BF" w:rsidRPr="00E72E66" w:rsidRDefault="007419BF" w:rsidP="007419BF">
            <w:pPr>
              <w:pStyle w:val="TableText"/>
            </w:pPr>
            <w:r w:rsidRPr="00E72E66">
              <w:t>-6.9%</w:t>
            </w:r>
          </w:p>
        </w:tc>
        <w:tc>
          <w:tcPr>
            <w:tcW w:w="1220" w:type="dxa"/>
            <w:shd w:val="clear" w:color="auto" w:fill="auto"/>
            <w:noWrap/>
            <w:vAlign w:val="center"/>
            <w:hideMark/>
          </w:tcPr>
          <w:p w:rsidR="007419BF" w:rsidRPr="00E72E66" w:rsidRDefault="007419BF" w:rsidP="007419BF">
            <w:pPr>
              <w:pStyle w:val="TableText"/>
            </w:pPr>
            <w:r w:rsidRPr="00E72E66">
              <w:t>-5.59</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48.9%</w:t>
            </w:r>
          </w:p>
        </w:tc>
        <w:tc>
          <w:tcPr>
            <w:tcW w:w="1577" w:type="dxa"/>
            <w:shd w:val="clear" w:color="auto" w:fill="auto"/>
            <w:noWrap/>
            <w:vAlign w:val="center"/>
            <w:hideMark/>
          </w:tcPr>
          <w:p w:rsidR="007419BF" w:rsidRPr="00E72E66" w:rsidRDefault="007419BF" w:rsidP="007419BF">
            <w:pPr>
              <w:pStyle w:val="TableText"/>
            </w:pPr>
            <w:r w:rsidRPr="00E72E66">
              <w:t>37.0%</w:t>
            </w:r>
          </w:p>
        </w:tc>
        <w:tc>
          <w:tcPr>
            <w:tcW w:w="1524" w:type="dxa"/>
            <w:shd w:val="clear" w:color="auto" w:fill="auto"/>
            <w:noWrap/>
            <w:vAlign w:val="center"/>
            <w:hideMark/>
          </w:tcPr>
          <w:p w:rsidR="007419BF" w:rsidRPr="00E72E66" w:rsidRDefault="007419BF" w:rsidP="007419BF">
            <w:pPr>
              <w:pStyle w:val="TableText"/>
            </w:pPr>
            <w:r w:rsidRPr="00E72E66">
              <w:t>11.9%</w:t>
            </w:r>
          </w:p>
        </w:tc>
        <w:tc>
          <w:tcPr>
            <w:tcW w:w="1220" w:type="dxa"/>
            <w:shd w:val="clear" w:color="auto" w:fill="auto"/>
            <w:noWrap/>
            <w:vAlign w:val="center"/>
            <w:hideMark/>
          </w:tcPr>
          <w:p w:rsidR="007419BF" w:rsidRPr="00E72E66" w:rsidRDefault="007419BF" w:rsidP="007419BF">
            <w:pPr>
              <w:pStyle w:val="TableText"/>
            </w:pPr>
            <w:r w:rsidRPr="00E72E66">
              <w:t>32.1%</w:t>
            </w:r>
          </w:p>
        </w:tc>
        <w:tc>
          <w:tcPr>
            <w:tcW w:w="1220" w:type="dxa"/>
            <w:shd w:val="clear" w:color="auto" w:fill="auto"/>
            <w:noWrap/>
            <w:vAlign w:val="center"/>
            <w:hideMark/>
          </w:tcPr>
          <w:p w:rsidR="007419BF" w:rsidRPr="00E72E66" w:rsidRDefault="007419BF" w:rsidP="007419BF">
            <w:pPr>
              <w:pStyle w:val="TableText"/>
            </w:pPr>
            <w:r w:rsidRPr="00E72E66">
              <w:t>13.16</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restart"/>
            <w:shd w:val="clear" w:color="auto" w:fill="auto"/>
            <w:vAlign w:val="center"/>
            <w:hideMark/>
          </w:tcPr>
          <w:p w:rsidR="007419BF" w:rsidRDefault="007419BF" w:rsidP="007419BF">
            <w:pPr>
              <w:pStyle w:val="TableText"/>
            </w:pPr>
            <w:r w:rsidRPr="00E72E66">
              <w:t>E19 (</w:t>
            </w:r>
            <w:proofErr w:type="spellStart"/>
            <w:r w:rsidRPr="00E72E66">
              <w:t>n</w:t>
            </w:r>
            <w:r w:rsidRPr="00E72E66">
              <w:rPr>
                <w:vertAlign w:val="subscript"/>
              </w:rPr>
              <w:t>t</w:t>
            </w:r>
            <w:proofErr w:type="spellEnd"/>
            <w:r w:rsidRPr="00E72E66">
              <w:t xml:space="preserve">=1319, </w:t>
            </w:r>
          </w:p>
          <w:p w:rsidR="007419BF" w:rsidRPr="00E72E66" w:rsidRDefault="007419BF" w:rsidP="007419BF">
            <w:pPr>
              <w:pStyle w:val="TableText"/>
            </w:pPr>
            <w:proofErr w:type="spellStart"/>
            <w:r w:rsidRPr="00E72E66">
              <w:t>n</w:t>
            </w:r>
            <w:r w:rsidRPr="00E72E66">
              <w:rPr>
                <w:vertAlign w:val="subscript"/>
              </w:rPr>
              <w:t>c</w:t>
            </w:r>
            <w:proofErr w:type="spellEnd"/>
            <w:r w:rsidRPr="00E72E66">
              <w:t xml:space="preserve"> =772)</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28.0%</w:t>
            </w:r>
          </w:p>
        </w:tc>
        <w:tc>
          <w:tcPr>
            <w:tcW w:w="1577" w:type="dxa"/>
            <w:shd w:val="clear" w:color="auto" w:fill="auto"/>
            <w:noWrap/>
            <w:vAlign w:val="center"/>
            <w:hideMark/>
          </w:tcPr>
          <w:p w:rsidR="007419BF" w:rsidRPr="00E72E66" w:rsidRDefault="007419BF" w:rsidP="007419BF">
            <w:pPr>
              <w:pStyle w:val="TableText"/>
            </w:pPr>
            <w:r w:rsidRPr="00E72E66">
              <w:t>31.8%</w:t>
            </w:r>
          </w:p>
        </w:tc>
        <w:tc>
          <w:tcPr>
            <w:tcW w:w="1524" w:type="dxa"/>
            <w:shd w:val="clear" w:color="auto" w:fill="auto"/>
            <w:noWrap/>
            <w:vAlign w:val="center"/>
            <w:hideMark/>
          </w:tcPr>
          <w:p w:rsidR="007419BF" w:rsidRPr="00E72E66" w:rsidRDefault="007419BF" w:rsidP="007419BF">
            <w:pPr>
              <w:pStyle w:val="TableText"/>
            </w:pPr>
            <w:r w:rsidRPr="00E72E66">
              <w:t>-3.7%</w:t>
            </w:r>
          </w:p>
        </w:tc>
        <w:tc>
          <w:tcPr>
            <w:tcW w:w="1220" w:type="dxa"/>
            <w:shd w:val="clear" w:color="auto" w:fill="auto"/>
            <w:noWrap/>
            <w:vAlign w:val="center"/>
            <w:hideMark/>
          </w:tcPr>
          <w:p w:rsidR="007419BF" w:rsidRPr="00E72E66" w:rsidRDefault="007419BF" w:rsidP="007419BF">
            <w:pPr>
              <w:pStyle w:val="TableText"/>
            </w:pPr>
            <w:r w:rsidRPr="00E72E66">
              <w:t>-11.7%</w:t>
            </w:r>
          </w:p>
        </w:tc>
        <w:tc>
          <w:tcPr>
            <w:tcW w:w="1220" w:type="dxa"/>
            <w:shd w:val="clear" w:color="auto" w:fill="auto"/>
            <w:noWrap/>
            <w:vAlign w:val="center"/>
            <w:hideMark/>
          </w:tcPr>
          <w:p w:rsidR="007419BF" w:rsidRPr="00E72E66" w:rsidRDefault="007419BF" w:rsidP="007419BF">
            <w:pPr>
              <w:pStyle w:val="TableText"/>
            </w:pPr>
            <w:r w:rsidRPr="00E72E66">
              <w:t>-8.61</w:t>
            </w:r>
          </w:p>
        </w:tc>
        <w:tc>
          <w:tcPr>
            <w:tcW w:w="1449" w:type="dxa"/>
            <w:vMerge w:val="restart"/>
            <w:shd w:val="clear" w:color="auto" w:fill="auto"/>
            <w:noWrap/>
            <w:vAlign w:val="center"/>
            <w:hideMark/>
          </w:tcPr>
          <w:p w:rsidR="007419BF" w:rsidRDefault="007419BF" w:rsidP="007419BF">
            <w:pPr>
              <w:pStyle w:val="TableText"/>
            </w:pPr>
            <w:r>
              <w:t>0.10</w:t>
            </w: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 xml:space="preserve">Part-Peak </w:t>
            </w:r>
          </w:p>
        </w:tc>
        <w:tc>
          <w:tcPr>
            <w:tcW w:w="1527" w:type="dxa"/>
            <w:shd w:val="clear" w:color="auto" w:fill="auto"/>
            <w:noWrap/>
            <w:vAlign w:val="center"/>
            <w:hideMark/>
          </w:tcPr>
          <w:p w:rsidR="007419BF" w:rsidRPr="00E72E66" w:rsidRDefault="007419BF" w:rsidP="007419BF">
            <w:pPr>
              <w:pStyle w:val="TableText"/>
            </w:pPr>
            <w:r w:rsidRPr="00E72E66">
              <w:t>31.0%</w:t>
            </w:r>
          </w:p>
        </w:tc>
        <w:tc>
          <w:tcPr>
            <w:tcW w:w="1577" w:type="dxa"/>
            <w:shd w:val="clear" w:color="auto" w:fill="auto"/>
            <w:noWrap/>
            <w:vAlign w:val="center"/>
            <w:hideMark/>
          </w:tcPr>
          <w:p w:rsidR="007419BF" w:rsidRPr="00E72E66" w:rsidRDefault="007419BF" w:rsidP="007419BF">
            <w:pPr>
              <w:pStyle w:val="TableText"/>
            </w:pPr>
            <w:r w:rsidRPr="00E72E66">
              <w:t>32.6%</w:t>
            </w:r>
          </w:p>
        </w:tc>
        <w:tc>
          <w:tcPr>
            <w:tcW w:w="1524" w:type="dxa"/>
            <w:shd w:val="clear" w:color="auto" w:fill="auto"/>
            <w:noWrap/>
            <w:vAlign w:val="center"/>
            <w:hideMark/>
          </w:tcPr>
          <w:p w:rsidR="007419BF" w:rsidRPr="00E72E66" w:rsidRDefault="007419BF" w:rsidP="007419BF">
            <w:pPr>
              <w:pStyle w:val="TableText"/>
            </w:pPr>
            <w:r w:rsidRPr="00E72E66">
              <w:t>-1.7%</w:t>
            </w:r>
          </w:p>
        </w:tc>
        <w:tc>
          <w:tcPr>
            <w:tcW w:w="1220" w:type="dxa"/>
            <w:shd w:val="clear" w:color="auto" w:fill="auto"/>
            <w:noWrap/>
            <w:vAlign w:val="center"/>
            <w:hideMark/>
          </w:tcPr>
          <w:p w:rsidR="007419BF" w:rsidRPr="00E72E66" w:rsidRDefault="007419BF" w:rsidP="007419BF">
            <w:pPr>
              <w:pStyle w:val="TableText"/>
            </w:pPr>
            <w:r w:rsidRPr="00E72E66">
              <w:t>-5.1%</w:t>
            </w:r>
          </w:p>
        </w:tc>
        <w:tc>
          <w:tcPr>
            <w:tcW w:w="1220" w:type="dxa"/>
            <w:shd w:val="clear" w:color="auto" w:fill="auto"/>
            <w:noWrap/>
            <w:vAlign w:val="center"/>
            <w:hideMark/>
          </w:tcPr>
          <w:p w:rsidR="007419BF" w:rsidRPr="00E72E66" w:rsidRDefault="007419BF" w:rsidP="007419BF">
            <w:pPr>
              <w:pStyle w:val="TableText"/>
            </w:pPr>
            <w:r w:rsidRPr="00E72E66">
              <w:t>-7.11</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41.0%</w:t>
            </w:r>
          </w:p>
        </w:tc>
        <w:tc>
          <w:tcPr>
            <w:tcW w:w="1577" w:type="dxa"/>
            <w:shd w:val="clear" w:color="auto" w:fill="auto"/>
            <w:noWrap/>
            <w:vAlign w:val="center"/>
            <w:hideMark/>
          </w:tcPr>
          <w:p w:rsidR="007419BF" w:rsidRPr="00E72E66" w:rsidRDefault="007419BF" w:rsidP="007419BF">
            <w:pPr>
              <w:pStyle w:val="TableText"/>
            </w:pPr>
            <w:r w:rsidRPr="00E72E66">
              <w:t>35.6%</w:t>
            </w:r>
          </w:p>
        </w:tc>
        <w:tc>
          <w:tcPr>
            <w:tcW w:w="1524" w:type="dxa"/>
            <w:shd w:val="clear" w:color="auto" w:fill="auto"/>
            <w:noWrap/>
            <w:vAlign w:val="center"/>
            <w:hideMark/>
          </w:tcPr>
          <w:p w:rsidR="007419BF" w:rsidRPr="00E72E66" w:rsidRDefault="007419BF" w:rsidP="007419BF">
            <w:pPr>
              <w:pStyle w:val="TableText"/>
            </w:pPr>
            <w:r w:rsidRPr="00E72E66">
              <w:t>5.4%</w:t>
            </w:r>
          </w:p>
        </w:tc>
        <w:tc>
          <w:tcPr>
            <w:tcW w:w="1220" w:type="dxa"/>
            <w:shd w:val="clear" w:color="auto" w:fill="auto"/>
            <w:noWrap/>
            <w:vAlign w:val="center"/>
            <w:hideMark/>
          </w:tcPr>
          <w:p w:rsidR="007419BF" w:rsidRPr="00E72E66" w:rsidRDefault="007419BF" w:rsidP="007419BF">
            <w:pPr>
              <w:pStyle w:val="TableText"/>
            </w:pPr>
            <w:r w:rsidRPr="00E72E66">
              <w:t>15.1%</w:t>
            </w:r>
          </w:p>
        </w:tc>
        <w:tc>
          <w:tcPr>
            <w:tcW w:w="1220" w:type="dxa"/>
            <w:shd w:val="clear" w:color="auto" w:fill="auto"/>
            <w:noWrap/>
            <w:vAlign w:val="center"/>
            <w:hideMark/>
          </w:tcPr>
          <w:p w:rsidR="007419BF" w:rsidRPr="00E72E66" w:rsidRDefault="007419BF" w:rsidP="007419BF">
            <w:pPr>
              <w:pStyle w:val="TableText"/>
            </w:pPr>
            <w:r w:rsidRPr="00E72E66">
              <w:t>8.97</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restart"/>
            <w:shd w:val="clear" w:color="auto" w:fill="auto"/>
            <w:vAlign w:val="center"/>
            <w:hideMark/>
          </w:tcPr>
          <w:p w:rsidR="007419BF" w:rsidRPr="00E72E66" w:rsidRDefault="007419BF" w:rsidP="007419BF">
            <w:pPr>
              <w:pStyle w:val="TableText"/>
            </w:pPr>
            <w:r w:rsidRPr="00E72E66">
              <w:t>Agricultural</w:t>
            </w:r>
          </w:p>
        </w:tc>
        <w:tc>
          <w:tcPr>
            <w:tcW w:w="1577" w:type="dxa"/>
            <w:vMerge w:val="restart"/>
            <w:shd w:val="clear" w:color="auto" w:fill="auto"/>
            <w:vAlign w:val="center"/>
            <w:hideMark/>
          </w:tcPr>
          <w:p w:rsidR="007419BF" w:rsidRDefault="007419BF" w:rsidP="007419BF">
            <w:pPr>
              <w:pStyle w:val="TableText"/>
            </w:pPr>
            <w:r w:rsidRPr="00E72E66">
              <w:t xml:space="preserve">AG4A </w:t>
            </w:r>
          </w:p>
          <w:p w:rsidR="007419BF" w:rsidRDefault="007419BF" w:rsidP="007419BF">
            <w:pPr>
              <w:pStyle w:val="TableText"/>
            </w:pPr>
            <w:r w:rsidRPr="00E72E66">
              <w:t>(</w:t>
            </w:r>
            <w:proofErr w:type="spellStart"/>
            <w:r w:rsidRPr="00E72E66">
              <w:t>n</w:t>
            </w:r>
            <w:r w:rsidRPr="00E72E66">
              <w:rPr>
                <w:vertAlign w:val="subscript"/>
              </w:rPr>
              <w:t>t</w:t>
            </w:r>
            <w:proofErr w:type="spellEnd"/>
            <w:r w:rsidRPr="00E72E66">
              <w:t xml:space="preserve"> =597, </w:t>
            </w:r>
          </w:p>
          <w:p w:rsidR="007419BF" w:rsidRPr="00E72E66" w:rsidRDefault="007419BF" w:rsidP="007419BF">
            <w:pPr>
              <w:pStyle w:val="TableText"/>
            </w:pPr>
            <w:proofErr w:type="spellStart"/>
            <w:r w:rsidRPr="00E72E66">
              <w:t>n</w:t>
            </w:r>
            <w:r w:rsidRPr="00E72E66">
              <w:rPr>
                <w:vertAlign w:val="subscript"/>
              </w:rPr>
              <w:t>c</w:t>
            </w:r>
            <w:proofErr w:type="spellEnd"/>
            <w:r w:rsidRPr="00E72E66">
              <w:t xml:space="preserve"> =455)</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19.9%</w:t>
            </w:r>
          </w:p>
        </w:tc>
        <w:tc>
          <w:tcPr>
            <w:tcW w:w="1577" w:type="dxa"/>
            <w:shd w:val="clear" w:color="auto" w:fill="auto"/>
            <w:noWrap/>
            <w:vAlign w:val="center"/>
            <w:hideMark/>
          </w:tcPr>
          <w:p w:rsidR="007419BF" w:rsidRPr="00E72E66" w:rsidRDefault="007419BF" w:rsidP="007419BF">
            <w:pPr>
              <w:pStyle w:val="TableText"/>
            </w:pPr>
            <w:r w:rsidRPr="00E72E66">
              <w:t>27.9%</w:t>
            </w:r>
          </w:p>
        </w:tc>
        <w:tc>
          <w:tcPr>
            <w:tcW w:w="1524" w:type="dxa"/>
            <w:shd w:val="clear" w:color="auto" w:fill="auto"/>
            <w:noWrap/>
            <w:vAlign w:val="center"/>
            <w:hideMark/>
          </w:tcPr>
          <w:p w:rsidR="007419BF" w:rsidRPr="00E72E66" w:rsidRDefault="007419BF" w:rsidP="007419BF">
            <w:pPr>
              <w:pStyle w:val="TableText"/>
            </w:pPr>
            <w:r w:rsidRPr="00E72E66">
              <w:t>-8.0%</w:t>
            </w:r>
          </w:p>
        </w:tc>
        <w:tc>
          <w:tcPr>
            <w:tcW w:w="1220" w:type="dxa"/>
            <w:shd w:val="clear" w:color="auto" w:fill="auto"/>
            <w:noWrap/>
            <w:vAlign w:val="center"/>
            <w:hideMark/>
          </w:tcPr>
          <w:p w:rsidR="007419BF" w:rsidRPr="00E72E66" w:rsidRDefault="007419BF" w:rsidP="007419BF">
            <w:pPr>
              <w:pStyle w:val="TableText"/>
            </w:pPr>
            <w:r w:rsidRPr="00E72E66">
              <w:t>-28.6%</w:t>
            </w:r>
          </w:p>
        </w:tc>
        <w:tc>
          <w:tcPr>
            <w:tcW w:w="1220" w:type="dxa"/>
            <w:shd w:val="clear" w:color="auto" w:fill="auto"/>
            <w:noWrap/>
            <w:vAlign w:val="center"/>
            <w:hideMark/>
          </w:tcPr>
          <w:p w:rsidR="007419BF" w:rsidRPr="00E72E66" w:rsidRDefault="007419BF" w:rsidP="007419BF">
            <w:pPr>
              <w:pStyle w:val="TableText"/>
            </w:pPr>
            <w:r w:rsidRPr="00E72E66">
              <w:t>-9.38</w:t>
            </w:r>
          </w:p>
        </w:tc>
        <w:tc>
          <w:tcPr>
            <w:tcW w:w="1449" w:type="dxa"/>
            <w:vMerge w:val="restart"/>
            <w:shd w:val="clear" w:color="auto" w:fill="auto"/>
            <w:noWrap/>
            <w:vAlign w:val="center"/>
            <w:hideMark/>
          </w:tcPr>
          <w:p w:rsidR="007419BF" w:rsidRDefault="007419BF" w:rsidP="007419BF">
            <w:pPr>
              <w:pStyle w:val="TableText"/>
            </w:pPr>
            <w:r>
              <w:t>0.32</w:t>
            </w: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80.1%</w:t>
            </w:r>
          </w:p>
        </w:tc>
        <w:tc>
          <w:tcPr>
            <w:tcW w:w="1577" w:type="dxa"/>
            <w:shd w:val="clear" w:color="auto" w:fill="auto"/>
            <w:noWrap/>
            <w:vAlign w:val="center"/>
            <w:hideMark/>
          </w:tcPr>
          <w:p w:rsidR="007419BF" w:rsidRPr="00E72E66" w:rsidRDefault="007419BF" w:rsidP="007419BF">
            <w:pPr>
              <w:pStyle w:val="TableText"/>
            </w:pPr>
            <w:r w:rsidRPr="00E72E66">
              <w:t>72.1%</w:t>
            </w:r>
          </w:p>
        </w:tc>
        <w:tc>
          <w:tcPr>
            <w:tcW w:w="1524" w:type="dxa"/>
            <w:shd w:val="clear" w:color="auto" w:fill="auto"/>
            <w:noWrap/>
            <w:vAlign w:val="center"/>
            <w:hideMark/>
          </w:tcPr>
          <w:p w:rsidR="007419BF" w:rsidRPr="00E72E66" w:rsidRDefault="007419BF" w:rsidP="007419BF">
            <w:pPr>
              <w:pStyle w:val="TableText"/>
            </w:pPr>
            <w:r w:rsidRPr="00E72E66">
              <w:t>8.0%</w:t>
            </w:r>
          </w:p>
        </w:tc>
        <w:tc>
          <w:tcPr>
            <w:tcW w:w="1220" w:type="dxa"/>
            <w:shd w:val="clear" w:color="auto" w:fill="auto"/>
            <w:noWrap/>
            <w:vAlign w:val="center"/>
            <w:hideMark/>
          </w:tcPr>
          <w:p w:rsidR="007419BF" w:rsidRPr="00E72E66" w:rsidRDefault="007419BF" w:rsidP="007419BF">
            <w:pPr>
              <w:pStyle w:val="TableText"/>
            </w:pPr>
            <w:r w:rsidRPr="00E72E66">
              <w:t>11.0%</w:t>
            </w:r>
          </w:p>
        </w:tc>
        <w:tc>
          <w:tcPr>
            <w:tcW w:w="1220" w:type="dxa"/>
            <w:shd w:val="clear" w:color="auto" w:fill="auto"/>
            <w:noWrap/>
            <w:vAlign w:val="center"/>
            <w:hideMark/>
          </w:tcPr>
          <w:p w:rsidR="007419BF" w:rsidRPr="00E72E66" w:rsidRDefault="007419BF" w:rsidP="007419BF">
            <w:pPr>
              <w:pStyle w:val="TableText"/>
            </w:pPr>
            <w:r w:rsidRPr="00E72E66">
              <w:t>9.38</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restart"/>
            <w:shd w:val="clear" w:color="auto" w:fill="auto"/>
            <w:vAlign w:val="center"/>
            <w:hideMark/>
          </w:tcPr>
          <w:p w:rsidR="007419BF" w:rsidRDefault="007419BF" w:rsidP="007419BF">
            <w:pPr>
              <w:pStyle w:val="TableText"/>
            </w:pPr>
            <w:r w:rsidRPr="00E72E66">
              <w:t xml:space="preserve">AG4B </w:t>
            </w:r>
          </w:p>
          <w:p w:rsidR="007419BF" w:rsidRDefault="007419BF" w:rsidP="007419BF">
            <w:pPr>
              <w:pStyle w:val="TableText"/>
            </w:pPr>
            <w:r w:rsidRPr="00E72E66">
              <w:t>(</w:t>
            </w:r>
            <w:proofErr w:type="spellStart"/>
            <w:r w:rsidRPr="00E72E66">
              <w:t>n</w:t>
            </w:r>
            <w:r w:rsidRPr="00E72E66">
              <w:rPr>
                <w:vertAlign w:val="subscript"/>
              </w:rPr>
              <w:t>t</w:t>
            </w:r>
            <w:proofErr w:type="spellEnd"/>
            <w:r w:rsidRPr="00E72E66">
              <w:t xml:space="preserve"> =335, </w:t>
            </w:r>
          </w:p>
          <w:p w:rsidR="007419BF" w:rsidRPr="00E72E66" w:rsidRDefault="007419BF" w:rsidP="007419BF">
            <w:pPr>
              <w:pStyle w:val="TableText"/>
            </w:pPr>
            <w:proofErr w:type="spellStart"/>
            <w:r w:rsidRPr="00E72E66">
              <w:t>n</w:t>
            </w:r>
            <w:r w:rsidRPr="00E72E66">
              <w:rPr>
                <w:vertAlign w:val="subscript"/>
              </w:rPr>
              <w:t>c</w:t>
            </w:r>
            <w:proofErr w:type="spellEnd"/>
            <w:r w:rsidRPr="00E72E66">
              <w:t xml:space="preserve"> =170)</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23.8%</w:t>
            </w:r>
          </w:p>
        </w:tc>
        <w:tc>
          <w:tcPr>
            <w:tcW w:w="1577" w:type="dxa"/>
            <w:shd w:val="clear" w:color="auto" w:fill="auto"/>
            <w:noWrap/>
            <w:vAlign w:val="center"/>
            <w:hideMark/>
          </w:tcPr>
          <w:p w:rsidR="007419BF" w:rsidRPr="00E72E66" w:rsidRDefault="007419BF" w:rsidP="007419BF">
            <w:pPr>
              <w:pStyle w:val="TableText"/>
            </w:pPr>
            <w:r w:rsidRPr="00E72E66">
              <w:t>28.5%</w:t>
            </w:r>
          </w:p>
        </w:tc>
        <w:tc>
          <w:tcPr>
            <w:tcW w:w="1524" w:type="dxa"/>
            <w:shd w:val="clear" w:color="auto" w:fill="auto"/>
            <w:noWrap/>
            <w:vAlign w:val="center"/>
            <w:hideMark/>
          </w:tcPr>
          <w:p w:rsidR="007419BF" w:rsidRPr="00E72E66" w:rsidRDefault="007419BF" w:rsidP="007419BF">
            <w:pPr>
              <w:pStyle w:val="TableText"/>
            </w:pPr>
            <w:r w:rsidRPr="00E72E66">
              <w:t>-4.7%</w:t>
            </w:r>
          </w:p>
        </w:tc>
        <w:tc>
          <w:tcPr>
            <w:tcW w:w="1220" w:type="dxa"/>
            <w:shd w:val="clear" w:color="auto" w:fill="auto"/>
            <w:noWrap/>
            <w:vAlign w:val="center"/>
            <w:hideMark/>
          </w:tcPr>
          <w:p w:rsidR="007419BF" w:rsidRPr="00E72E66" w:rsidRDefault="007419BF" w:rsidP="007419BF">
            <w:pPr>
              <w:pStyle w:val="TableText"/>
            </w:pPr>
            <w:r w:rsidRPr="00E72E66">
              <w:t>-19.8%</w:t>
            </w:r>
          </w:p>
        </w:tc>
        <w:tc>
          <w:tcPr>
            <w:tcW w:w="1220" w:type="dxa"/>
            <w:shd w:val="clear" w:color="auto" w:fill="auto"/>
            <w:noWrap/>
            <w:vAlign w:val="center"/>
            <w:hideMark/>
          </w:tcPr>
          <w:p w:rsidR="007419BF" w:rsidRPr="00E72E66" w:rsidRDefault="007419BF" w:rsidP="007419BF">
            <w:pPr>
              <w:pStyle w:val="TableText"/>
            </w:pPr>
            <w:r w:rsidRPr="00E72E66">
              <w:t>-3.60</w:t>
            </w:r>
          </w:p>
        </w:tc>
        <w:tc>
          <w:tcPr>
            <w:tcW w:w="1449" w:type="dxa"/>
            <w:vMerge w:val="restart"/>
            <w:shd w:val="clear" w:color="auto" w:fill="auto"/>
            <w:noWrap/>
            <w:vAlign w:val="center"/>
            <w:hideMark/>
          </w:tcPr>
          <w:p w:rsidR="007419BF" w:rsidRDefault="007419BF" w:rsidP="007419BF">
            <w:pPr>
              <w:pStyle w:val="TableText"/>
            </w:pPr>
            <w:r>
              <w:t>0.22</w:t>
            </w: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76.2%</w:t>
            </w:r>
          </w:p>
        </w:tc>
        <w:tc>
          <w:tcPr>
            <w:tcW w:w="1577" w:type="dxa"/>
            <w:shd w:val="clear" w:color="auto" w:fill="auto"/>
            <w:noWrap/>
            <w:vAlign w:val="center"/>
            <w:hideMark/>
          </w:tcPr>
          <w:p w:rsidR="007419BF" w:rsidRPr="00E72E66" w:rsidRDefault="007419BF" w:rsidP="007419BF">
            <w:pPr>
              <w:pStyle w:val="TableText"/>
            </w:pPr>
            <w:r w:rsidRPr="00E72E66">
              <w:t>71.5%</w:t>
            </w:r>
          </w:p>
        </w:tc>
        <w:tc>
          <w:tcPr>
            <w:tcW w:w="1524" w:type="dxa"/>
            <w:shd w:val="clear" w:color="auto" w:fill="auto"/>
            <w:noWrap/>
            <w:vAlign w:val="center"/>
            <w:hideMark/>
          </w:tcPr>
          <w:p w:rsidR="007419BF" w:rsidRPr="00E72E66" w:rsidRDefault="007419BF" w:rsidP="007419BF">
            <w:pPr>
              <w:pStyle w:val="TableText"/>
            </w:pPr>
            <w:r w:rsidRPr="00E72E66">
              <w:t>4.7%</w:t>
            </w:r>
          </w:p>
        </w:tc>
        <w:tc>
          <w:tcPr>
            <w:tcW w:w="1220" w:type="dxa"/>
            <w:shd w:val="clear" w:color="auto" w:fill="auto"/>
            <w:noWrap/>
            <w:vAlign w:val="center"/>
            <w:hideMark/>
          </w:tcPr>
          <w:p w:rsidR="007419BF" w:rsidRPr="00E72E66" w:rsidRDefault="007419BF" w:rsidP="007419BF">
            <w:pPr>
              <w:pStyle w:val="TableText"/>
            </w:pPr>
            <w:r w:rsidRPr="00E72E66">
              <w:t>6.2%</w:t>
            </w:r>
          </w:p>
        </w:tc>
        <w:tc>
          <w:tcPr>
            <w:tcW w:w="1220" w:type="dxa"/>
            <w:shd w:val="clear" w:color="auto" w:fill="auto"/>
            <w:noWrap/>
            <w:vAlign w:val="center"/>
            <w:hideMark/>
          </w:tcPr>
          <w:p w:rsidR="007419BF" w:rsidRPr="00E72E66" w:rsidRDefault="007419BF" w:rsidP="007419BF">
            <w:pPr>
              <w:pStyle w:val="TableText"/>
            </w:pPr>
            <w:r w:rsidRPr="00E72E66">
              <w:t>3.60</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restart"/>
            <w:shd w:val="clear" w:color="auto" w:fill="auto"/>
            <w:vAlign w:val="center"/>
            <w:hideMark/>
          </w:tcPr>
          <w:p w:rsidR="007419BF" w:rsidRDefault="007419BF" w:rsidP="007419BF">
            <w:pPr>
              <w:pStyle w:val="TableText"/>
            </w:pPr>
            <w:r w:rsidRPr="00E72E66">
              <w:t xml:space="preserve">AG5A </w:t>
            </w:r>
          </w:p>
          <w:p w:rsidR="007419BF" w:rsidRDefault="007419BF" w:rsidP="007419BF">
            <w:pPr>
              <w:pStyle w:val="TableText"/>
            </w:pPr>
            <w:r w:rsidRPr="00E72E66">
              <w:t>(</w:t>
            </w:r>
            <w:proofErr w:type="spellStart"/>
            <w:r w:rsidRPr="00E72E66">
              <w:t>n</w:t>
            </w:r>
            <w:r w:rsidRPr="00E72E66">
              <w:rPr>
                <w:vertAlign w:val="subscript"/>
              </w:rPr>
              <w:t>t</w:t>
            </w:r>
            <w:proofErr w:type="spellEnd"/>
            <w:r w:rsidRPr="00E72E66">
              <w:t xml:space="preserve"> =156, </w:t>
            </w:r>
          </w:p>
          <w:p w:rsidR="007419BF" w:rsidRPr="00E72E66" w:rsidRDefault="007419BF" w:rsidP="007419BF">
            <w:pPr>
              <w:pStyle w:val="TableText"/>
            </w:pPr>
            <w:proofErr w:type="spellStart"/>
            <w:r w:rsidRPr="00E72E66">
              <w:t>n</w:t>
            </w:r>
            <w:r w:rsidRPr="00E72E66">
              <w:rPr>
                <w:vertAlign w:val="subscript"/>
              </w:rPr>
              <w:t>c</w:t>
            </w:r>
            <w:proofErr w:type="spellEnd"/>
            <w:r w:rsidRPr="00E72E66">
              <w:t xml:space="preserve"> =127)</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22.0%</w:t>
            </w:r>
          </w:p>
        </w:tc>
        <w:tc>
          <w:tcPr>
            <w:tcW w:w="1577" w:type="dxa"/>
            <w:shd w:val="clear" w:color="auto" w:fill="auto"/>
            <w:noWrap/>
            <w:vAlign w:val="center"/>
            <w:hideMark/>
          </w:tcPr>
          <w:p w:rsidR="007419BF" w:rsidRPr="00E72E66" w:rsidRDefault="007419BF" w:rsidP="007419BF">
            <w:pPr>
              <w:pStyle w:val="TableText"/>
            </w:pPr>
            <w:r w:rsidRPr="00E72E66">
              <w:t>26.6%</w:t>
            </w:r>
          </w:p>
        </w:tc>
        <w:tc>
          <w:tcPr>
            <w:tcW w:w="1524" w:type="dxa"/>
            <w:shd w:val="clear" w:color="auto" w:fill="auto"/>
            <w:noWrap/>
            <w:vAlign w:val="center"/>
            <w:hideMark/>
          </w:tcPr>
          <w:p w:rsidR="007419BF" w:rsidRPr="00E72E66" w:rsidRDefault="007419BF" w:rsidP="007419BF">
            <w:pPr>
              <w:pStyle w:val="TableText"/>
            </w:pPr>
            <w:r w:rsidRPr="00E72E66">
              <w:t>-4.6%</w:t>
            </w:r>
          </w:p>
        </w:tc>
        <w:tc>
          <w:tcPr>
            <w:tcW w:w="1220" w:type="dxa"/>
            <w:shd w:val="clear" w:color="auto" w:fill="auto"/>
            <w:noWrap/>
            <w:vAlign w:val="center"/>
            <w:hideMark/>
          </w:tcPr>
          <w:p w:rsidR="007419BF" w:rsidRPr="00E72E66" w:rsidRDefault="007419BF" w:rsidP="007419BF">
            <w:pPr>
              <w:pStyle w:val="TableText"/>
            </w:pPr>
            <w:r w:rsidRPr="00E72E66">
              <w:t>-17.2%</w:t>
            </w:r>
          </w:p>
        </w:tc>
        <w:tc>
          <w:tcPr>
            <w:tcW w:w="1220" w:type="dxa"/>
            <w:shd w:val="clear" w:color="auto" w:fill="auto"/>
            <w:noWrap/>
            <w:vAlign w:val="center"/>
            <w:hideMark/>
          </w:tcPr>
          <w:p w:rsidR="007419BF" w:rsidRPr="00E72E66" w:rsidRDefault="007419BF" w:rsidP="007419BF">
            <w:pPr>
              <w:pStyle w:val="TableText"/>
            </w:pPr>
            <w:r w:rsidRPr="00E72E66">
              <w:t>-3.74</w:t>
            </w:r>
          </w:p>
        </w:tc>
        <w:tc>
          <w:tcPr>
            <w:tcW w:w="1449" w:type="dxa"/>
            <w:vMerge w:val="restart"/>
            <w:shd w:val="clear" w:color="auto" w:fill="auto"/>
            <w:noWrap/>
            <w:vAlign w:val="center"/>
            <w:hideMark/>
          </w:tcPr>
          <w:p w:rsidR="007419BF" w:rsidRDefault="007419BF" w:rsidP="007419BF">
            <w:pPr>
              <w:pStyle w:val="TableText"/>
            </w:pPr>
            <w:r>
              <w:t>0.27</w:t>
            </w: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78.0%</w:t>
            </w:r>
          </w:p>
        </w:tc>
        <w:tc>
          <w:tcPr>
            <w:tcW w:w="1577" w:type="dxa"/>
            <w:shd w:val="clear" w:color="auto" w:fill="auto"/>
            <w:noWrap/>
            <w:vAlign w:val="center"/>
            <w:hideMark/>
          </w:tcPr>
          <w:p w:rsidR="007419BF" w:rsidRPr="00E72E66" w:rsidRDefault="007419BF" w:rsidP="007419BF">
            <w:pPr>
              <w:pStyle w:val="TableText"/>
            </w:pPr>
            <w:r w:rsidRPr="00E72E66">
              <w:t>73.4%</w:t>
            </w:r>
          </w:p>
        </w:tc>
        <w:tc>
          <w:tcPr>
            <w:tcW w:w="1524" w:type="dxa"/>
            <w:shd w:val="clear" w:color="auto" w:fill="auto"/>
            <w:noWrap/>
            <w:vAlign w:val="center"/>
            <w:hideMark/>
          </w:tcPr>
          <w:p w:rsidR="007419BF" w:rsidRPr="00E72E66" w:rsidRDefault="007419BF" w:rsidP="007419BF">
            <w:pPr>
              <w:pStyle w:val="TableText"/>
            </w:pPr>
            <w:r w:rsidRPr="00E72E66">
              <w:t>4.6%</w:t>
            </w:r>
          </w:p>
        </w:tc>
        <w:tc>
          <w:tcPr>
            <w:tcW w:w="1220" w:type="dxa"/>
            <w:shd w:val="clear" w:color="auto" w:fill="auto"/>
            <w:noWrap/>
            <w:vAlign w:val="center"/>
            <w:hideMark/>
          </w:tcPr>
          <w:p w:rsidR="007419BF" w:rsidRPr="00E72E66" w:rsidRDefault="007419BF" w:rsidP="007419BF">
            <w:pPr>
              <w:pStyle w:val="TableText"/>
            </w:pPr>
            <w:r w:rsidRPr="00E72E66">
              <w:t>6.2%</w:t>
            </w:r>
          </w:p>
        </w:tc>
        <w:tc>
          <w:tcPr>
            <w:tcW w:w="1220" w:type="dxa"/>
            <w:shd w:val="clear" w:color="auto" w:fill="auto"/>
            <w:noWrap/>
            <w:vAlign w:val="center"/>
            <w:hideMark/>
          </w:tcPr>
          <w:p w:rsidR="007419BF" w:rsidRPr="00E72E66" w:rsidRDefault="007419BF" w:rsidP="007419BF">
            <w:pPr>
              <w:pStyle w:val="TableText"/>
            </w:pPr>
            <w:r w:rsidRPr="00E72E66">
              <w:t>3.74</w:t>
            </w:r>
          </w:p>
        </w:tc>
        <w:tc>
          <w:tcPr>
            <w:tcW w:w="1449" w:type="dxa"/>
            <w:vMerge/>
            <w:shd w:val="clear" w:color="auto" w:fill="auto"/>
            <w:noWrap/>
            <w:vAlign w:val="center"/>
            <w:hideMark/>
          </w:tcPr>
          <w:p w:rsidR="007419BF" w:rsidRPr="00E72E66" w:rsidRDefault="007419BF" w:rsidP="007419BF">
            <w:pPr>
              <w:pStyle w:val="TableText"/>
            </w:pPr>
          </w:p>
        </w:tc>
      </w:tr>
      <w:tr w:rsidR="007419BF" w:rsidRPr="00E72E66" w:rsidTr="009338ED">
        <w:trPr>
          <w:trHeight w:val="432"/>
        </w:trPr>
        <w:tc>
          <w:tcPr>
            <w:tcW w:w="1582" w:type="dxa"/>
            <w:vMerge/>
            <w:vAlign w:val="center"/>
            <w:hideMark/>
          </w:tcPr>
          <w:p w:rsidR="007419BF" w:rsidRPr="00E72E66" w:rsidRDefault="007419BF" w:rsidP="007419BF">
            <w:pPr>
              <w:pStyle w:val="TableText"/>
            </w:pPr>
          </w:p>
        </w:tc>
        <w:tc>
          <w:tcPr>
            <w:tcW w:w="1577" w:type="dxa"/>
            <w:vMerge w:val="restart"/>
            <w:shd w:val="clear" w:color="auto" w:fill="auto"/>
            <w:vAlign w:val="center"/>
            <w:hideMark/>
          </w:tcPr>
          <w:p w:rsidR="007419BF" w:rsidRDefault="007419BF" w:rsidP="007419BF">
            <w:pPr>
              <w:pStyle w:val="TableText"/>
            </w:pPr>
            <w:r w:rsidRPr="00E72E66">
              <w:t xml:space="preserve">AG5B </w:t>
            </w:r>
          </w:p>
          <w:p w:rsidR="007419BF" w:rsidRDefault="007419BF" w:rsidP="007419BF">
            <w:pPr>
              <w:pStyle w:val="TableText"/>
            </w:pPr>
            <w:r w:rsidRPr="00E72E66">
              <w:t>(</w:t>
            </w:r>
            <w:proofErr w:type="spellStart"/>
            <w:r w:rsidRPr="00E72E66">
              <w:t>n</w:t>
            </w:r>
            <w:r w:rsidRPr="00E72E66">
              <w:rPr>
                <w:vertAlign w:val="subscript"/>
              </w:rPr>
              <w:t>t</w:t>
            </w:r>
            <w:proofErr w:type="spellEnd"/>
            <w:r w:rsidRPr="00E72E66">
              <w:t xml:space="preserve"> =353, </w:t>
            </w:r>
          </w:p>
          <w:p w:rsidR="007419BF" w:rsidRPr="00E72E66" w:rsidRDefault="007419BF" w:rsidP="007419BF">
            <w:pPr>
              <w:pStyle w:val="TableText"/>
            </w:pPr>
            <w:proofErr w:type="spellStart"/>
            <w:r w:rsidRPr="00E72E66">
              <w:t>n</w:t>
            </w:r>
            <w:r w:rsidRPr="00E72E66">
              <w:rPr>
                <w:vertAlign w:val="subscript"/>
              </w:rPr>
              <w:t>c</w:t>
            </w:r>
            <w:proofErr w:type="spellEnd"/>
            <w:r w:rsidRPr="00E72E66">
              <w:t xml:space="preserve"> =146)</w:t>
            </w:r>
          </w:p>
        </w:tc>
        <w:tc>
          <w:tcPr>
            <w:tcW w:w="1500" w:type="dxa"/>
            <w:shd w:val="clear" w:color="auto" w:fill="auto"/>
            <w:noWrap/>
            <w:vAlign w:val="center"/>
            <w:hideMark/>
          </w:tcPr>
          <w:p w:rsidR="007419BF" w:rsidRPr="00E72E66" w:rsidRDefault="007419BF" w:rsidP="007419BF">
            <w:pPr>
              <w:pStyle w:val="TableText"/>
            </w:pPr>
            <w:r w:rsidRPr="00E72E66">
              <w:t>Peak</w:t>
            </w:r>
          </w:p>
        </w:tc>
        <w:tc>
          <w:tcPr>
            <w:tcW w:w="1527" w:type="dxa"/>
            <w:shd w:val="clear" w:color="auto" w:fill="auto"/>
            <w:noWrap/>
            <w:vAlign w:val="center"/>
            <w:hideMark/>
          </w:tcPr>
          <w:p w:rsidR="007419BF" w:rsidRPr="00E72E66" w:rsidRDefault="007419BF" w:rsidP="007419BF">
            <w:pPr>
              <w:pStyle w:val="TableText"/>
            </w:pPr>
            <w:r w:rsidRPr="00E72E66">
              <w:t>26.1%</w:t>
            </w:r>
          </w:p>
        </w:tc>
        <w:tc>
          <w:tcPr>
            <w:tcW w:w="1577" w:type="dxa"/>
            <w:shd w:val="clear" w:color="auto" w:fill="auto"/>
            <w:noWrap/>
            <w:vAlign w:val="center"/>
            <w:hideMark/>
          </w:tcPr>
          <w:p w:rsidR="007419BF" w:rsidRPr="00E72E66" w:rsidRDefault="007419BF" w:rsidP="007419BF">
            <w:pPr>
              <w:pStyle w:val="TableText"/>
            </w:pPr>
            <w:r w:rsidRPr="00E72E66">
              <w:t>29.7%</w:t>
            </w:r>
          </w:p>
        </w:tc>
        <w:tc>
          <w:tcPr>
            <w:tcW w:w="1524" w:type="dxa"/>
            <w:shd w:val="clear" w:color="auto" w:fill="auto"/>
            <w:noWrap/>
            <w:vAlign w:val="center"/>
            <w:hideMark/>
          </w:tcPr>
          <w:p w:rsidR="007419BF" w:rsidRPr="00E72E66" w:rsidRDefault="007419BF" w:rsidP="007419BF">
            <w:pPr>
              <w:pStyle w:val="TableText"/>
            </w:pPr>
            <w:r w:rsidRPr="00E72E66">
              <w:t>-3.6%</w:t>
            </w:r>
          </w:p>
        </w:tc>
        <w:tc>
          <w:tcPr>
            <w:tcW w:w="1220" w:type="dxa"/>
            <w:shd w:val="clear" w:color="auto" w:fill="auto"/>
            <w:noWrap/>
            <w:vAlign w:val="center"/>
            <w:hideMark/>
          </w:tcPr>
          <w:p w:rsidR="007419BF" w:rsidRPr="00E72E66" w:rsidRDefault="007419BF" w:rsidP="007419BF">
            <w:pPr>
              <w:pStyle w:val="TableText"/>
            </w:pPr>
            <w:r w:rsidRPr="00E72E66">
              <w:t>-12.0%</w:t>
            </w:r>
          </w:p>
        </w:tc>
        <w:tc>
          <w:tcPr>
            <w:tcW w:w="1220" w:type="dxa"/>
            <w:shd w:val="clear" w:color="auto" w:fill="auto"/>
            <w:noWrap/>
            <w:vAlign w:val="center"/>
            <w:hideMark/>
          </w:tcPr>
          <w:p w:rsidR="007419BF" w:rsidRPr="00E72E66" w:rsidRDefault="007419BF" w:rsidP="007419BF">
            <w:pPr>
              <w:pStyle w:val="TableText"/>
            </w:pPr>
            <w:r w:rsidRPr="00E72E66">
              <w:t>-2.15</w:t>
            </w:r>
          </w:p>
        </w:tc>
        <w:tc>
          <w:tcPr>
            <w:tcW w:w="1449" w:type="dxa"/>
            <w:vMerge w:val="restart"/>
            <w:shd w:val="clear" w:color="auto" w:fill="auto"/>
            <w:noWrap/>
            <w:vAlign w:val="center"/>
            <w:hideMark/>
          </w:tcPr>
          <w:p w:rsidR="007419BF" w:rsidRDefault="007419BF" w:rsidP="007419BF">
            <w:pPr>
              <w:pStyle w:val="TableText"/>
            </w:pPr>
            <w:r>
              <w:t>0.09</w:t>
            </w:r>
          </w:p>
        </w:tc>
      </w:tr>
      <w:tr w:rsidR="007419BF" w:rsidRPr="00E72E66" w:rsidTr="009338ED">
        <w:trPr>
          <w:trHeight w:val="360"/>
        </w:trPr>
        <w:tc>
          <w:tcPr>
            <w:tcW w:w="1582" w:type="dxa"/>
            <w:vMerge/>
            <w:vAlign w:val="center"/>
            <w:hideMark/>
          </w:tcPr>
          <w:p w:rsidR="007419BF" w:rsidRPr="00E72E66" w:rsidRDefault="007419BF" w:rsidP="007419BF">
            <w:pPr>
              <w:pStyle w:val="TableText"/>
            </w:pPr>
          </w:p>
        </w:tc>
        <w:tc>
          <w:tcPr>
            <w:tcW w:w="1577" w:type="dxa"/>
            <w:vMerge/>
            <w:vAlign w:val="center"/>
            <w:hideMark/>
          </w:tcPr>
          <w:p w:rsidR="007419BF" w:rsidRPr="00E72E66" w:rsidRDefault="007419BF" w:rsidP="007419BF">
            <w:pPr>
              <w:pStyle w:val="TableText"/>
            </w:pPr>
          </w:p>
        </w:tc>
        <w:tc>
          <w:tcPr>
            <w:tcW w:w="1500" w:type="dxa"/>
            <w:shd w:val="clear" w:color="auto" w:fill="auto"/>
            <w:noWrap/>
            <w:vAlign w:val="center"/>
            <w:hideMark/>
          </w:tcPr>
          <w:p w:rsidR="007419BF" w:rsidRPr="00E72E66" w:rsidRDefault="007419BF" w:rsidP="007419BF">
            <w:pPr>
              <w:pStyle w:val="TableText"/>
            </w:pPr>
            <w:r w:rsidRPr="00E72E66">
              <w:t>Off-Peak</w:t>
            </w:r>
          </w:p>
        </w:tc>
        <w:tc>
          <w:tcPr>
            <w:tcW w:w="1527" w:type="dxa"/>
            <w:shd w:val="clear" w:color="auto" w:fill="auto"/>
            <w:noWrap/>
            <w:vAlign w:val="center"/>
            <w:hideMark/>
          </w:tcPr>
          <w:p w:rsidR="007419BF" w:rsidRPr="00E72E66" w:rsidRDefault="007419BF" w:rsidP="007419BF">
            <w:pPr>
              <w:pStyle w:val="TableText"/>
            </w:pPr>
            <w:r w:rsidRPr="00E72E66">
              <w:t>73.9%</w:t>
            </w:r>
          </w:p>
        </w:tc>
        <w:tc>
          <w:tcPr>
            <w:tcW w:w="1577" w:type="dxa"/>
            <w:shd w:val="clear" w:color="auto" w:fill="auto"/>
            <w:noWrap/>
            <w:vAlign w:val="center"/>
            <w:hideMark/>
          </w:tcPr>
          <w:p w:rsidR="007419BF" w:rsidRPr="00E72E66" w:rsidRDefault="007419BF" w:rsidP="007419BF">
            <w:pPr>
              <w:pStyle w:val="TableText"/>
            </w:pPr>
            <w:r w:rsidRPr="00E72E66">
              <w:t>70.3%</w:t>
            </w:r>
          </w:p>
        </w:tc>
        <w:tc>
          <w:tcPr>
            <w:tcW w:w="1524" w:type="dxa"/>
            <w:shd w:val="clear" w:color="auto" w:fill="auto"/>
            <w:noWrap/>
            <w:vAlign w:val="center"/>
            <w:hideMark/>
          </w:tcPr>
          <w:p w:rsidR="007419BF" w:rsidRPr="00E72E66" w:rsidRDefault="007419BF" w:rsidP="007419BF">
            <w:pPr>
              <w:pStyle w:val="TableText"/>
            </w:pPr>
            <w:r w:rsidRPr="00E72E66">
              <w:t>3.6%</w:t>
            </w:r>
          </w:p>
        </w:tc>
        <w:tc>
          <w:tcPr>
            <w:tcW w:w="1220" w:type="dxa"/>
            <w:shd w:val="clear" w:color="auto" w:fill="auto"/>
            <w:noWrap/>
            <w:vAlign w:val="center"/>
            <w:hideMark/>
          </w:tcPr>
          <w:p w:rsidR="007419BF" w:rsidRPr="00E72E66" w:rsidRDefault="007419BF" w:rsidP="007419BF">
            <w:pPr>
              <w:pStyle w:val="TableText"/>
            </w:pPr>
            <w:r w:rsidRPr="00E72E66">
              <w:t>5.1%</w:t>
            </w:r>
          </w:p>
        </w:tc>
        <w:tc>
          <w:tcPr>
            <w:tcW w:w="1220" w:type="dxa"/>
            <w:shd w:val="clear" w:color="auto" w:fill="auto"/>
            <w:noWrap/>
            <w:vAlign w:val="center"/>
            <w:hideMark/>
          </w:tcPr>
          <w:p w:rsidR="007419BF" w:rsidRPr="00E72E66" w:rsidRDefault="007419BF" w:rsidP="007419BF">
            <w:pPr>
              <w:pStyle w:val="TableText"/>
            </w:pPr>
            <w:r w:rsidRPr="00E72E66">
              <w:t>2.15</w:t>
            </w:r>
          </w:p>
        </w:tc>
        <w:tc>
          <w:tcPr>
            <w:tcW w:w="1449" w:type="dxa"/>
            <w:vMerge/>
            <w:shd w:val="clear" w:color="auto" w:fill="auto"/>
            <w:noWrap/>
            <w:vAlign w:val="center"/>
            <w:hideMark/>
          </w:tcPr>
          <w:p w:rsidR="007419BF" w:rsidRPr="00E72E66" w:rsidRDefault="007419BF" w:rsidP="007419BF">
            <w:pPr>
              <w:pStyle w:val="TableText"/>
            </w:pPr>
          </w:p>
        </w:tc>
      </w:tr>
    </w:tbl>
    <w:p w:rsidR="007419BF" w:rsidRDefault="007419BF" w:rsidP="007419BF">
      <w:pPr>
        <w:pStyle w:val="BodyParagraph"/>
      </w:pPr>
    </w:p>
    <w:p w:rsidR="007419BF" w:rsidRDefault="007419BF" w:rsidP="007419BF">
      <w:pPr>
        <w:pStyle w:val="BodyParagraph"/>
        <w:sectPr w:rsidR="007419BF" w:rsidSect="007419BF">
          <w:headerReference w:type="default" r:id="rId26"/>
          <w:pgSz w:w="15840" w:h="12240" w:orient="landscape"/>
          <w:pgMar w:top="1440" w:right="1440" w:bottom="1440" w:left="1440" w:header="720" w:footer="720" w:gutter="0"/>
          <w:cols w:space="720"/>
          <w:docGrid w:linePitch="360"/>
        </w:sectPr>
      </w:pPr>
    </w:p>
    <w:p w:rsidR="007419BF" w:rsidRDefault="007419BF" w:rsidP="007419BF">
      <w:pPr>
        <w:pStyle w:val="AppendixHeading"/>
        <w:ind w:left="2250" w:hanging="2250"/>
      </w:pPr>
      <w:bookmarkStart w:id="39" w:name="_Toc348688768"/>
      <w:bookmarkStart w:id="40" w:name="_Toc350519897"/>
      <w:r>
        <w:lastRenderedPageBreak/>
        <w:t>Process to Standardize Load Shapes for 1</w:t>
      </w:r>
      <w:r w:rsidR="00D3329E">
        <w:noBreakHyphen/>
      </w:r>
      <w:r>
        <w:t>in</w:t>
      </w:r>
      <w:r w:rsidR="00D3329E">
        <w:noBreakHyphen/>
      </w:r>
      <w:r>
        <w:t>2 and 1-in-10 Weather Conditions</w:t>
      </w:r>
      <w:bookmarkEnd w:id="39"/>
      <w:bookmarkEnd w:id="40"/>
    </w:p>
    <w:p w:rsidR="007419BF" w:rsidRDefault="007419BF" w:rsidP="007419BF">
      <w:pPr>
        <w:pStyle w:val="BodyParagraph"/>
      </w:pPr>
      <w:r>
        <w:t>Developing representative non-residential load shapes for 1-in-2 and 1-in-10 weather conditions was a</w:t>
      </w:r>
      <w:r w:rsidR="00BD5EDE">
        <w:t> </w:t>
      </w:r>
      <w:r>
        <w:t xml:space="preserve">multi-step process.  For customers with maximum demand over 200 kW, interval data for the entire population was available.  Ex ante load impacts for these customers are based on data from the full population of large C&amp;I customers.  Samples were used because there were far too many customers to obtain interval data for every customer in this segment of the PG&amp;E population.  </w:t>
      </w:r>
    </w:p>
    <w:p w:rsidR="007419BF" w:rsidRDefault="007419BF" w:rsidP="007419BF">
      <w:pPr>
        <w:pStyle w:val="BodyBeforeBullet"/>
      </w:pPr>
      <w:r>
        <w:t>The process to standardize load shapes for 1-in-2 and 1-in-10 weather conditions included the following steps:</w:t>
      </w:r>
    </w:p>
    <w:p w:rsidR="007419BF" w:rsidRDefault="007419BF" w:rsidP="007419BF">
      <w:pPr>
        <w:pStyle w:val="Bullets"/>
        <w:numPr>
          <w:ilvl w:val="0"/>
          <w:numId w:val="8"/>
        </w:numPr>
      </w:pPr>
      <w:r>
        <w:t>Aggregate customer interval data and produce load profiles by local capacity and demand category.  This produced a full year of average customer electricity use for each date and hour</w:t>
      </w:r>
      <w:r w:rsidR="00BD5EDE">
        <w:t> </w:t>
      </w:r>
      <w:r>
        <w:t>for each of the segments.</w:t>
      </w:r>
    </w:p>
    <w:p w:rsidR="007419BF" w:rsidRDefault="007419BF" w:rsidP="007419BF">
      <w:pPr>
        <w:pStyle w:val="Bullets"/>
        <w:numPr>
          <w:ilvl w:val="0"/>
          <w:numId w:val="8"/>
        </w:numPr>
      </w:pPr>
      <w:r>
        <w:t>Estimate regression models that explained electricity use as a function of weather conditions, day of week and season.</w:t>
      </w:r>
    </w:p>
    <w:p w:rsidR="007419BF" w:rsidRPr="0015562B" w:rsidRDefault="007419BF" w:rsidP="007419BF">
      <w:pPr>
        <w:pStyle w:val="Bullets"/>
        <w:numPr>
          <w:ilvl w:val="0"/>
          <w:numId w:val="8"/>
        </w:numPr>
      </w:pPr>
      <w:r w:rsidRPr="0015562B">
        <w:t>Store the regression parameters.  This includes parameters that describe customer hourly load patterns</w:t>
      </w:r>
      <w:r>
        <w:t xml:space="preserve"> and</w:t>
      </w:r>
      <w:r w:rsidRPr="0015562B">
        <w:t xml:space="preserve"> weather sensitivity</w:t>
      </w:r>
      <w:r>
        <w:t xml:space="preserve">. </w:t>
      </w:r>
      <w:r w:rsidRPr="0015562B">
        <w:t xml:space="preserve"> </w:t>
      </w:r>
    </w:p>
    <w:p w:rsidR="007419BF" w:rsidRPr="0015562B" w:rsidRDefault="007419BF" w:rsidP="007419BF">
      <w:pPr>
        <w:pStyle w:val="Bullets"/>
        <w:numPr>
          <w:ilvl w:val="0"/>
          <w:numId w:val="8"/>
        </w:numPr>
      </w:pPr>
      <w:r w:rsidRPr="0015562B">
        <w:t>Use the 1-in-2 and 1-in-10 weather year conditions</w:t>
      </w:r>
      <w:r>
        <w:t xml:space="preserve"> for each local capacity</w:t>
      </w:r>
      <w:r w:rsidRPr="0015562B">
        <w:t>.  For example, in predicting the 1-in-2 August Peak Day impacts in the Greater Bay Area, the weather patterns underlying normal July peak system loads were used</w:t>
      </w:r>
      <w:r>
        <w:t>.</w:t>
      </w:r>
      <w:r w:rsidRPr="0015562B">
        <w:t xml:space="preserve"> </w:t>
      </w:r>
    </w:p>
    <w:p w:rsidR="007419BF" w:rsidRPr="0015562B" w:rsidRDefault="007419BF" w:rsidP="007419BF">
      <w:pPr>
        <w:pStyle w:val="Bullets"/>
        <w:numPr>
          <w:ilvl w:val="0"/>
          <w:numId w:val="8"/>
        </w:numPr>
      </w:pPr>
      <w:r w:rsidRPr="0015562B">
        <w:t>Replicate</w:t>
      </w:r>
      <w:r>
        <w:t xml:space="preserve"> the same variables used in the</w:t>
      </w:r>
      <w:r w:rsidRPr="0015562B">
        <w:t xml:space="preserve"> regression models</w:t>
      </w:r>
      <w:r>
        <w:t>.</w:t>
      </w:r>
    </w:p>
    <w:p w:rsidR="007419BF" w:rsidRDefault="007419BF" w:rsidP="007419BF">
      <w:pPr>
        <w:pStyle w:val="BulletLast"/>
        <w:numPr>
          <w:ilvl w:val="0"/>
          <w:numId w:val="8"/>
        </w:numPr>
      </w:pPr>
      <w:r w:rsidRPr="0015562B">
        <w:t xml:space="preserve">Predict the customer electricity use patterns </w:t>
      </w:r>
      <w:r>
        <w:t>given 1-in-2 and 1-in-10 weather</w:t>
      </w:r>
      <w:r w:rsidRPr="0015562B">
        <w:t xml:space="preserve"> conditions</w:t>
      </w:r>
      <w:r>
        <w:t xml:space="preserve"> based on the regression parameters.</w:t>
      </w:r>
    </w:p>
    <w:p w:rsidR="007419BF" w:rsidRDefault="007419BF" w:rsidP="007419BF">
      <w:pPr>
        <w:pStyle w:val="BodyBeforeBullet"/>
      </w:pPr>
      <w:r>
        <w:t>Mathematically, the models can be expressed as follows for each hour, t:</w:t>
      </w:r>
    </w:p>
    <w:bookmarkStart w:id="41" w:name="_GoBack"/>
    <w:p w:rsidR="007419BF" w:rsidRPr="00337B6E" w:rsidRDefault="00DD79FE" w:rsidP="007419BF">
      <w:pPr>
        <w:pStyle w:val="Bullets"/>
        <w:numPr>
          <w:ilvl w:val="0"/>
          <w:numId w:val="0"/>
        </w:numPr>
        <w:ind w:left="720" w:hanging="360"/>
      </w:pPr>
      <m:oMath>
        <m:sSub>
          <m:sSubPr>
            <m:ctrlPr>
              <w:rPr>
                <w:rFonts w:ascii="Cambria Math" w:hAnsi="Cambria Math"/>
              </w:rPr>
            </m:ctrlPr>
          </m:sSubPr>
          <m:e>
            <m:r>
              <w:rPr>
                <w:rFonts w:ascii="Cambria Math" w:hAnsi="Cambria Math"/>
              </w:rPr>
              <m:t>kW</m:t>
            </m:r>
          </m:e>
          <m:sub>
            <m:r>
              <w:rPr>
                <w:rFonts w:ascii="Cambria Math" w:hAnsi="Cambria Math"/>
              </w:rPr>
              <m:t>dt</m:t>
            </m:r>
          </m:sub>
        </m:sSub>
        <w:bookmarkEnd w:id="41"/>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=2</m:t>
                </m:r>
              </m:sub>
              <m:sup>
                <m:r>
                  <m:rPr>
                    <m:sty m:val="p"/>
                  </m:rPr>
                  <w:rPr>
                    <w:rFonts w:ascii="Cambria Math" w:hAnsi="Cambria Math"/>
                  </w:rPr>
                  <m:t>5</m:t>
                </m:r>
              </m:sup>
              <m:e>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e>
            </m:nary>
            <m:r>
              <w:rPr>
                <w:rFonts w:ascii="Cambria Math" w:hAnsi="Cambria Math"/>
              </w:rPr>
              <m:t>daytype</m:t>
            </m:r>
          </m:e>
          <m:sub>
            <m:r>
              <w:rPr>
                <w:rFonts w:ascii="Cambria Math" w:hAnsi="Cambria Math"/>
              </w:rPr>
              <m:t>dtj</m:t>
            </m:r>
          </m:sub>
        </m:sSub>
        <m:r>
          <m:rPr>
            <m:sty m:val="p"/>
          </m:rPr>
          <w:rPr>
            <w:rFonts w:ascii="Cambria Math" w:hAnsi="Cambria Math"/>
          </w:rPr>
          <m:t>+</m:t>
        </m:r>
        <m:sSub>
          <m:sSubPr>
            <m:ctrlPr>
              <w:rPr>
                <w:rFonts w:ascii="Cambria Math" w:hAnsi="Cambria Math"/>
              </w:rPr>
            </m:ctrlPr>
          </m:sSubPr>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=2</m:t>
                </m:r>
              </m:sub>
              <m:sup>
                <m:r>
                  <m:rPr>
                    <m:sty m:val="p"/>
                  </m:rPr>
                  <w:rPr>
                    <w:rFonts w:ascii="Cambria Math" w:hAnsi="Cambria Math"/>
                  </w:rPr>
                  <m:t>12</m:t>
                </m:r>
              </m:sup>
              <m:e>
                <m:sSub>
                  <m:sSubPr>
                    <m:ctrlPr>
                      <w:rPr>
                        <w:rFonts w:ascii="Cambria Math" w:hAnsi="Cambria Math"/>
                      </w:rPr>
                    </m:ctrlPr>
                  </m:sSubPr>
                  <m:e>
                    <m:r>
                      <w:rPr>
                        <w:rFonts w:ascii="Cambria Math" w:hAnsi="Cambria Math"/>
                      </w:rPr>
                      <m:t>c</m:t>
                    </m:r>
                  </m:e>
                  <m:sub>
                    <m:r>
                      <w:rPr>
                        <w:rFonts w:ascii="Cambria Math" w:hAnsi="Cambria Math"/>
                      </w:rPr>
                      <m:t>k</m:t>
                    </m:r>
                  </m:sub>
                </m:sSub>
                <m:r>
                  <m:rPr>
                    <m:sty m:val="p"/>
                  </m:rPr>
                  <w:rPr>
                    <w:rFonts w:ascii="Cambria Math" w:hAnsi="Cambria Math"/>
                  </w:rPr>
                  <m:t>*</m:t>
                </m:r>
              </m:e>
            </m:nary>
            <m:r>
              <w:rPr>
                <w:rFonts w:ascii="Cambria Math" w:hAnsi="Cambria Math"/>
              </w:rPr>
              <m:t>month</m:t>
            </m:r>
          </m:e>
          <m:sub>
            <m:r>
              <w:rPr>
                <w:rFonts w:ascii="Cambria Math" w:hAnsi="Cambria Math"/>
              </w:rPr>
              <m:t>dtk</m:t>
            </m:r>
          </m:sub>
        </m:sSub>
        <m:sSub>
          <m:sSubPr>
            <m:ctrlPr>
              <w:rPr>
                <w:rFonts w:ascii="Cambria Math" w:hAnsi="Cambria Math"/>
              </w:rPr>
            </m:ctrlPr>
          </m:sSubPr>
          <m:e>
            <m:r>
              <m:rPr>
                <m:sty m:val="p"/>
              </m:rPr>
              <w:rPr>
                <w:rFonts w:ascii="Cambria Math" w:hAnsi="Cambria Math"/>
              </w:rPr>
              <m:t>+</m:t>
            </m:r>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cdd</m:t>
                </m:r>
              </m:e>
              <m:sub>
                <m:r>
                  <w:rPr>
                    <w:rFonts w:ascii="Cambria Math" w:hAnsi="Cambria Math"/>
                  </w:rPr>
                  <m:t>dt</m:t>
                </m:r>
              </m:sub>
            </m:sSub>
            <m:r>
              <m:rPr>
                <m:sty m:val="p"/>
              </m:rPr>
              <w:rPr>
                <w:rFonts w:ascii="Cambria Math" w:hAnsi="Cambria Math"/>
              </w:rPr>
              <m:t>+</m:t>
            </m:r>
            <m:r>
              <w:rPr>
                <w:rFonts w:ascii="Cambria Math" w:hAnsi="Cambria Math"/>
              </w:rPr>
              <m:t>e</m:t>
            </m:r>
            <m:r>
              <m:rPr>
                <m:sty m:val="p"/>
              </m:rPr>
              <w:rPr>
                <w:rFonts w:ascii="Cambria Math" w:hAnsi="Cambria Math"/>
              </w:rPr>
              <m:t>*</m:t>
            </m:r>
            <m:sSub>
              <m:sSubPr>
                <m:ctrlPr>
                  <w:rPr>
                    <w:rFonts w:ascii="Cambria Math" w:hAnsi="Cambria Math"/>
                  </w:rPr>
                </m:ctrlPr>
              </m:sSubPr>
              <m:e>
                <m:r>
                  <w:rPr>
                    <w:rFonts w:ascii="Cambria Math" w:hAnsi="Cambria Math"/>
                  </w:rPr>
                  <m:t>hd</m:t>
                </m:r>
                <m:r>
                  <w:rPr>
                    <w:rFonts w:ascii="Cambria Math" w:hAnsi="Cambria Math"/>
                  </w:rPr>
                  <m:t>d</m:t>
                </m:r>
              </m:e>
              <m:sub>
                <m:r>
                  <w:rPr>
                    <w:rFonts w:ascii="Cambria Math" w:hAnsi="Cambria Math"/>
                  </w:rPr>
                  <m:t>dt</m:t>
                </m:r>
              </m:sub>
            </m:sSub>
            <m:r>
              <m:rPr>
                <m:sty m:val="p"/>
              </m:rPr>
              <w:rPr>
                <w:rFonts w:ascii="Cambria Math" w:hAnsi="Cambria Math"/>
              </w:rPr>
              <m:t>+</m:t>
            </m:r>
            <m:r>
              <w:rPr>
                <w:rFonts w:ascii="Cambria Math" w:hAnsi="Cambria Math"/>
              </w:rPr>
              <m:t>e</m:t>
            </m:r>
          </m:e>
          <m:sub>
            <m:r>
              <w:rPr>
                <w:rFonts w:ascii="Cambria Math" w:hAnsi="Cambria Math"/>
              </w:rPr>
              <m:t>dt</m:t>
            </m:r>
          </m:sub>
        </m:sSub>
        <m:r>
          <m:rPr>
            <m:sty m:val="p"/>
          </m:rPr>
          <w:rPr>
            <w:rFonts w:ascii="Cambria Math" w:hAnsi="Cambria Math"/>
          </w:rPr>
          <m:t xml:space="preserve">,  </m:t>
        </m:r>
        <m:r>
          <w:rPr>
            <w:rFonts w:ascii="Cambria Math" w:hAnsi="Cambria Math"/>
          </w:rPr>
          <m:t>t</m:t>
        </m:r>
        <m:r>
          <m:rPr>
            <m:sty m:val="p"/>
          </m:rPr>
          <w:rPr>
            <w:rFonts w:ascii="Cambria Math" w:hAnsi="Cambria Math"/>
          </w:rPr>
          <m:t>={1</m:t>
        </m:r>
      </m:oMath>
      <w:r w:rsidR="007419BF" w:rsidRPr="00A02210">
        <w:t>, 2, 3 … 24}</w:t>
      </w:r>
    </w:p>
    <w:p w:rsidR="007419BF" w:rsidRPr="00DE36B9" w:rsidRDefault="00D1175B" w:rsidP="007419BF">
      <w:pPr>
        <w:pStyle w:val="BodyParaAfterTableFigure"/>
      </w:pPr>
      <w:r>
        <w:t>Table C</w:t>
      </w:r>
      <w:r w:rsidR="007419BF">
        <w:t xml:space="preserve">-1 defines the variables used in the regression models.  </w:t>
      </w:r>
    </w:p>
    <w:p w:rsidR="007419BF" w:rsidRPr="00337B6E" w:rsidRDefault="00D1175B" w:rsidP="007419BF">
      <w:pPr>
        <w:pStyle w:val="TableFigureCaption"/>
      </w:pPr>
      <w:r>
        <w:t>Table C</w:t>
      </w:r>
      <w:r w:rsidR="007419BF">
        <w:t>-1</w:t>
      </w:r>
      <w:r w:rsidR="007419BF" w:rsidRPr="00337B6E">
        <w:t>: Regression Model Variables</w:t>
      </w:r>
    </w:p>
    <w:tbl>
      <w:tblPr>
        <w:tblW w:w="9240" w:type="dxa"/>
        <w:jc w:val="center"/>
        <w:tblLook w:val="04A0" w:firstRow="1" w:lastRow="0" w:firstColumn="1" w:lastColumn="0" w:noHBand="0" w:noVBand="1"/>
      </w:tblPr>
      <w:tblGrid>
        <w:gridCol w:w="2560"/>
        <w:gridCol w:w="6680"/>
      </w:tblGrid>
      <w:tr w:rsidR="007419BF" w:rsidRPr="00E264A7" w:rsidTr="00D34A05">
        <w:trPr>
          <w:trHeight w:val="300"/>
          <w:tblHeader/>
          <w:jc w:val="center"/>
        </w:trPr>
        <w:tc>
          <w:tcPr>
            <w:tcW w:w="2560" w:type="dxa"/>
            <w:tcBorders>
              <w:top w:val="single" w:sz="4" w:space="0" w:color="auto"/>
              <w:left w:val="single" w:sz="4" w:space="0" w:color="auto"/>
              <w:bottom w:val="single" w:sz="4" w:space="0" w:color="auto"/>
              <w:right w:val="single" w:sz="4" w:space="0" w:color="FFFFFF"/>
            </w:tcBorders>
            <w:shd w:val="clear" w:color="000000" w:fill="1F497D" w:themeFill="text2"/>
            <w:noWrap/>
            <w:vAlign w:val="center"/>
            <w:hideMark/>
          </w:tcPr>
          <w:p w:rsidR="007419BF" w:rsidRPr="00052E35" w:rsidRDefault="007419BF" w:rsidP="00D34A05">
            <w:pPr>
              <w:pStyle w:val="TableHeader"/>
            </w:pPr>
            <w:r w:rsidRPr="00052E35">
              <w:t>Variable</w:t>
            </w:r>
          </w:p>
        </w:tc>
        <w:tc>
          <w:tcPr>
            <w:tcW w:w="6680" w:type="dxa"/>
            <w:tcBorders>
              <w:top w:val="single" w:sz="4" w:space="0" w:color="auto"/>
              <w:left w:val="nil"/>
              <w:bottom w:val="single" w:sz="4" w:space="0" w:color="auto"/>
              <w:right w:val="single" w:sz="4" w:space="0" w:color="auto"/>
            </w:tcBorders>
            <w:shd w:val="clear" w:color="000000" w:fill="1F497D" w:themeFill="text2"/>
            <w:noWrap/>
            <w:vAlign w:val="bottom"/>
            <w:hideMark/>
          </w:tcPr>
          <w:p w:rsidR="007419BF" w:rsidRPr="00052E35" w:rsidRDefault="007419BF" w:rsidP="00D34A05">
            <w:pPr>
              <w:pStyle w:val="TableHeader"/>
            </w:pPr>
            <w:r w:rsidRPr="00052E35">
              <w:t>Description</w:t>
            </w:r>
          </w:p>
        </w:tc>
      </w:tr>
      <w:tr w:rsidR="007419BF" w:rsidRPr="00E264A7" w:rsidTr="00D34A0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E264A7" w:rsidRDefault="007419BF" w:rsidP="00D34A05">
            <w:pPr>
              <w:pStyle w:val="TableText"/>
            </w:pPr>
            <w:r w:rsidRPr="00E264A7">
              <w:t>kW</w:t>
            </w:r>
          </w:p>
        </w:tc>
        <w:tc>
          <w:tcPr>
            <w:tcW w:w="6680" w:type="dxa"/>
            <w:tcBorders>
              <w:top w:val="nil"/>
              <w:left w:val="nil"/>
              <w:bottom w:val="single" w:sz="4" w:space="0" w:color="auto"/>
              <w:right w:val="single" w:sz="4" w:space="0" w:color="auto"/>
            </w:tcBorders>
            <w:shd w:val="clear" w:color="auto" w:fill="auto"/>
            <w:noWrap/>
            <w:vAlign w:val="center"/>
            <w:hideMark/>
          </w:tcPr>
          <w:p w:rsidR="007419BF" w:rsidRPr="00E264A7" w:rsidRDefault="007419BF" w:rsidP="00D34A05">
            <w:pPr>
              <w:pStyle w:val="TableText"/>
              <w:jc w:val="left"/>
            </w:pPr>
            <w:r w:rsidRPr="00E264A7">
              <w:t>Energy usage in each hourly interval t={1,2,3 …24} for each date, d</w:t>
            </w:r>
          </w:p>
        </w:tc>
      </w:tr>
      <w:tr w:rsidR="007419BF" w:rsidRPr="00E264A7" w:rsidTr="00D34A05">
        <w:trPr>
          <w:trHeight w:val="125"/>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E264A7" w:rsidRDefault="007419BF" w:rsidP="00D34A05">
            <w:pPr>
              <w:pStyle w:val="TableText"/>
            </w:pPr>
            <w:proofErr w:type="spellStart"/>
            <w:r w:rsidRPr="00E264A7">
              <w:t>Daytype</w:t>
            </w:r>
            <w:proofErr w:type="spellEnd"/>
          </w:p>
        </w:tc>
        <w:tc>
          <w:tcPr>
            <w:tcW w:w="6680" w:type="dxa"/>
            <w:tcBorders>
              <w:top w:val="nil"/>
              <w:left w:val="nil"/>
              <w:bottom w:val="single" w:sz="4" w:space="0" w:color="auto"/>
              <w:right w:val="single" w:sz="4" w:space="0" w:color="auto"/>
            </w:tcBorders>
            <w:shd w:val="clear" w:color="auto" w:fill="auto"/>
            <w:vAlign w:val="center"/>
            <w:hideMark/>
          </w:tcPr>
          <w:p w:rsidR="007419BF" w:rsidRPr="00E264A7" w:rsidRDefault="007419BF" w:rsidP="00D34A05">
            <w:pPr>
              <w:pStyle w:val="TableText"/>
              <w:jc w:val="left"/>
            </w:pPr>
            <w:r w:rsidRPr="00E264A7">
              <w:t>Binary variable for the day type of the hourly observation (Sundays and holidays and Tuesday through Thursday are grouped together</w:t>
            </w:r>
          </w:p>
        </w:tc>
      </w:tr>
      <w:tr w:rsidR="007419BF" w:rsidRPr="00E264A7" w:rsidTr="00D34A0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E264A7" w:rsidRDefault="007419BF" w:rsidP="00D34A05">
            <w:pPr>
              <w:pStyle w:val="TableText"/>
            </w:pPr>
            <w:r w:rsidRPr="00E264A7">
              <w:t>Month</w:t>
            </w:r>
          </w:p>
        </w:tc>
        <w:tc>
          <w:tcPr>
            <w:tcW w:w="6680" w:type="dxa"/>
            <w:tcBorders>
              <w:top w:val="nil"/>
              <w:left w:val="nil"/>
              <w:bottom w:val="single" w:sz="4" w:space="0" w:color="auto"/>
              <w:right w:val="single" w:sz="4" w:space="0" w:color="auto"/>
            </w:tcBorders>
            <w:shd w:val="clear" w:color="auto" w:fill="auto"/>
            <w:noWrap/>
            <w:vAlign w:val="center"/>
            <w:hideMark/>
          </w:tcPr>
          <w:p w:rsidR="007419BF" w:rsidRPr="00E264A7" w:rsidRDefault="007419BF" w:rsidP="00D34A05">
            <w:pPr>
              <w:pStyle w:val="TableText"/>
              <w:jc w:val="left"/>
            </w:pPr>
            <w:r w:rsidRPr="00E264A7">
              <w:t>Binary variable indicating the month of the hourly observation</w:t>
            </w:r>
          </w:p>
        </w:tc>
      </w:tr>
      <w:tr w:rsidR="007419BF" w:rsidRPr="00E264A7" w:rsidTr="00D34A05">
        <w:trPr>
          <w:trHeight w:val="6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E264A7" w:rsidRDefault="007419BF" w:rsidP="00D34A05">
            <w:pPr>
              <w:pStyle w:val="TableText"/>
            </w:pPr>
            <w:r>
              <w:t>CDD</w:t>
            </w:r>
          </w:p>
        </w:tc>
        <w:tc>
          <w:tcPr>
            <w:tcW w:w="6680" w:type="dxa"/>
            <w:tcBorders>
              <w:top w:val="nil"/>
              <w:left w:val="nil"/>
              <w:bottom w:val="single" w:sz="4" w:space="0" w:color="auto"/>
              <w:right w:val="single" w:sz="4" w:space="0" w:color="auto"/>
            </w:tcBorders>
            <w:shd w:val="clear" w:color="auto" w:fill="auto"/>
            <w:vAlign w:val="center"/>
            <w:hideMark/>
          </w:tcPr>
          <w:p w:rsidR="007419BF" w:rsidRPr="00E264A7" w:rsidRDefault="007419BF" w:rsidP="00D34A05">
            <w:pPr>
              <w:pStyle w:val="TableText"/>
              <w:jc w:val="left"/>
            </w:pPr>
            <w:r w:rsidRPr="00E264A7">
              <w:t xml:space="preserve">Cooling Degree Day </w:t>
            </w:r>
            <w:r>
              <w:t>–</w:t>
            </w:r>
            <w:r w:rsidRPr="00E264A7">
              <w:t xml:space="preserve"> the max of zero and the mean temperature of the day of the hourly observation less a base value</w:t>
            </w:r>
          </w:p>
        </w:tc>
      </w:tr>
      <w:tr w:rsidR="007419BF" w:rsidRPr="00E264A7" w:rsidTr="00D34A0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E264A7" w:rsidRDefault="007419BF" w:rsidP="00D34A05">
            <w:pPr>
              <w:pStyle w:val="TableText"/>
            </w:pPr>
            <w:r w:rsidRPr="00E264A7">
              <w:t>H</w:t>
            </w:r>
            <w:r>
              <w:t>DD</w:t>
            </w:r>
          </w:p>
        </w:tc>
        <w:tc>
          <w:tcPr>
            <w:tcW w:w="6680" w:type="dxa"/>
            <w:tcBorders>
              <w:top w:val="nil"/>
              <w:left w:val="nil"/>
              <w:bottom w:val="single" w:sz="4" w:space="0" w:color="auto"/>
              <w:right w:val="single" w:sz="4" w:space="0" w:color="auto"/>
            </w:tcBorders>
            <w:shd w:val="clear" w:color="auto" w:fill="auto"/>
            <w:noWrap/>
            <w:vAlign w:val="center"/>
            <w:hideMark/>
          </w:tcPr>
          <w:p w:rsidR="007419BF" w:rsidRPr="00E264A7" w:rsidRDefault="007419BF" w:rsidP="00D34A05">
            <w:pPr>
              <w:pStyle w:val="TableText"/>
              <w:jc w:val="left"/>
            </w:pPr>
            <w:r>
              <w:t>Heating Degree Day – the inver</w:t>
            </w:r>
            <w:r w:rsidRPr="00E264A7">
              <w:t>se of CDD</w:t>
            </w:r>
          </w:p>
        </w:tc>
      </w:tr>
    </w:tbl>
    <w:p w:rsidR="007419BF" w:rsidRDefault="007419BF" w:rsidP="007419BF">
      <w:pPr>
        <w:pStyle w:val="BodyParagraph"/>
      </w:pPr>
    </w:p>
    <w:p w:rsidR="007419BF" w:rsidRDefault="007419BF">
      <w:pPr>
        <w:rPr>
          <w:rFonts w:ascii="Verdana" w:hAnsi="Verdana"/>
          <w:sz w:val="18"/>
        </w:rPr>
      </w:pPr>
      <w:r>
        <w:br w:type="page"/>
      </w:r>
    </w:p>
    <w:p w:rsidR="007419BF" w:rsidRDefault="007419BF" w:rsidP="007419BF">
      <w:pPr>
        <w:pStyle w:val="AppendixHeading"/>
      </w:pPr>
      <w:bookmarkStart w:id="42" w:name="_Toc348688769"/>
      <w:bookmarkStart w:id="43" w:name="_Toc350519898"/>
      <w:r>
        <w:lastRenderedPageBreak/>
        <w:t>Effective kWh Prices by Rate and Rate Period</w:t>
      </w:r>
      <w:bookmarkEnd w:id="42"/>
      <w:bookmarkEnd w:id="43"/>
    </w:p>
    <w:p w:rsidR="006957C5" w:rsidRDefault="00C75BF6">
      <w:pPr>
        <w:pStyle w:val="TableFigureCaption"/>
      </w:pPr>
      <w:r w:rsidRPr="00C2564C">
        <w:t xml:space="preserve">Table D-1: </w:t>
      </w:r>
      <w:r w:rsidR="00C2564C" w:rsidRPr="00C2564C">
        <w:t>Effective kWh Prices by Rate and Rate Period</w:t>
      </w:r>
    </w:p>
    <w:tbl>
      <w:tblPr>
        <w:tblW w:w="5000" w:type="pct"/>
        <w:jc w:val="center"/>
        <w:tblLook w:val="04A0" w:firstRow="1" w:lastRow="0" w:firstColumn="1" w:lastColumn="0" w:noHBand="0" w:noVBand="1"/>
      </w:tblPr>
      <w:tblGrid>
        <w:gridCol w:w="1174"/>
        <w:gridCol w:w="1588"/>
        <w:gridCol w:w="1890"/>
        <w:gridCol w:w="1480"/>
        <w:gridCol w:w="1588"/>
        <w:gridCol w:w="1856"/>
      </w:tblGrid>
      <w:tr w:rsidR="007419BF" w:rsidRPr="001208FE" w:rsidTr="00182842">
        <w:trPr>
          <w:trHeight w:val="300"/>
          <w:jc w:val="center"/>
        </w:trPr>
        <w:tc>
          <w:tcPr>
            <w:tcW w:w="613" w:type="pct"/>
            <w:vMerge w:val="restart"/>
            <w:tcBorders>
              <w:top w:val="single" w:sz="4" w:space="0" w:color="auto"/>
              <w:left w:val="single" w:sz="4" w:space="0" w:color="auto"/>
              <w:bottom w:val="single" w:sz="4" w:space="0" w:color="FFFFFF"/>
              <w:right w:val="single" w:sz="4" w:space="0" w:color="FFFFFF"/>
            </w:tcBorders>
            <w:shd w:val="clear" w:color="auto" w:fill="1F497D" w:themeFill="text2"/>
            <w:vAlign w:val="center"/>
            <w:hideMark/>
          </w:tcPr>
          <w:p w:rsidR="007419BF" w:rsidRPr="00182842" w:rsidRDefault="007419BF" w:rsidP="00182842">
            <w:pPr>
              <w:pStyle w:val="TableHeader"/>
            </w:pPr>
            <w:r w:rsidRPr="00182842">
              <w:t> </w:t>
            </w:r>
          </w:p>
        </w:tc>
        <w:tc>
          <w:tcPr>
            <w:tcW w:w="4387" w:type="pct"/>
            <w:gridSpan w:val="5"/>
            <w:tcBorders>
              <w:top w:val="single" w:sz="4" w:space="0" w:color="auto"/>
              <w:left w:val="nil"/>
              <w:bottom w:val="single" w:sz="4" w:space="0" w:color="FFFFFF"/>
              <w:right w:val="single" w:sz="4" w:space="0" w:color="000000"/>
            </w:tcBorders>
            <w:shd w:val="clear" w:color="auto" w:fill="1F497D" w:themeFill="text2"/>
            <w:vAlign w:val="center"/>
            <w:hideMark/>
          </w:tcPr>
          <w:p w:rsidR="007419BF" w:rsidRPr="00182842" w:rsidRDefault="007419BF" w:rsidP="00182842">
            <w:pPr>
              <w:pStyle w:val="TableHeader"/>
            </w:pPr>
            <w:r w:rsidRPr="00182842">
              <w:t>Effective kWh Prices ($/kWh)</w:t>
            </w:r>
          </w:p>
        </w:tc>
      </w:tr>
      <w:tr w:rsidR="007419BF" w:rsidRPr="001208FE" w:rsidTr="00182842">
        <w:trPr>
          <w:trHeight w:val="300"/>
          <w:jc w:val="center"/>
        </w:trPr>
        <w:tc>
          <w:tcPr>
            <w:tcW w:w="613" w:type="pct"/>
            <w:vMerge/>
            <w:tcBorders>
              <w:top w:val="single" w:sz="4" w:space="0" w:color="auto"/>
              <w:left w:val="single" w:sz="4" w:space="0" w:color="auto"/>
              <w:bottom w:val="single" w:sz="4" w:space="0" w:color="FFFFFF"/>
              <w:right w:val="single" w:sz="4" w:space="0" w:color="FFFFFF"/>
            </w:tcBorders>
            <w:shd w:val="clear" w:color="auto" w:fill="1F497D" w:themeFill="text2"/>
            <w:vAlign w:val="center"/>
            <w:hideMark/>
          </w:tcPr>
          <w:p w:rsidR="007419BF" w:rsidRPr="00182842" w:rsidRDefault="007419BF" w:rsidP="00182842">
            <w:pPr>
              <w:pStyle w:val="TableHeader"/>
            </w:pPr>
          </w:p>
        </w:tc>
        <w:tc>
          <w:tcPr>
            <w:tcW w:w="2589" w:type="pct"/>
            <w:gridSpan w:val="3"/>
            <w:tcBorders>
              <w:top w:val="single" w:sz="4" w:space="0" w:color="FFFFFF"/>
              <w:left w:val="nil"/>
              <w:bottom w:val="single" w:sz="4" w:space="0" w:color="FFFFFF"/>
              <w:right w:val="single" w:sz="4" w:space="0" w:color="FFFFFF"/>
            </w:tcBorders>
            <w:shd w:val="clear" w:color="auto" w:fill="1F497D" w:themeFill="text2"/>
            <w:vAlign w:val="center"/>
            <w:hideMark/>
          </w:tcPr>
          <w:p w:rsidR="007419BF" w:rsidRPr="00182842" w:rsidRDefault="007419BF" w:rsidP="00182842">
            <w:pPr>
              <w:pStyle w:val="TableHeader"/>
            </w:pPr>
            <w:r w:rsidRPr="00182842">
              <w:t>Summer</w:t>
            </w:r>
          </w:p>
        </w:tc>
        <w:tc>
          <w:tcPr>
            <w:tcW w:w="1798" w:type="pct"/>
            <w:gridSpan w:val="2"/>
            <w:tcBorders>
              <w:top w:val="single" w:sz="4" w:space="0" w:color="FFFFFF"/>
              <w:left w:val="nil"/>
              <w:bottom w:val="single" w:sz="4" w:space="0" w:color="FFFFFF"/>
              <w:right w:val="single" w:sz="4" w:space="0" w:color="000000"/>
            </w:tcBorders>
            <w:shd w:val="clear" w:color="auto" w:fill="1F497D" w:themeFill="text2"/>
            <w:vAlign w:val="center"/>
            <w:hideMark/>
          </w:tcPr>
          <w:p w:rsidR="007419BF" w:rsidRPr="00182842" w:rsidRDefault="007419BF" w:rsidP="00182842">
            <w:pPr>
              <w:pStyle w:val="TableHeader"/>
            </w:pPr>
            <w:r w:rsidRPr="00182842">
              <w:t>Winter</w:t>
            </w:r>
          </w:p>
        </w:tc>
      </w:tr>
      <w:tr w:rsidR="007419BF" w:rsidRPr="001208FE" w:rsidTr="00182842">
        <w:trPr>
          <w:trHeight w:val="570"/>
          <w:jc w:val="center"/>
        </w:trPr>
        <w:tc>
          <w:tcPr>
            <w:tcW w:w="613" w:type="pct"/>
            <w:tcBorders>
              <w:top w:val="nil"/>
              <w:left w:val="single" w:sz="4" w:space="0" w:color="auto"/>
              <w:bottom w:val="single" w:sz="4" w:space="0" w:color="auto"/>
              <w:right w:val="single" w:sz="4" w:space="0" w:color="FFFFFF"/>
            </w:tcBorders>
            <w:shd w:val="clear" w:color="auto" w:fill="1F497D" w:themeFill="text2"/>
            <w:vAlign w:val="center"/>
            <w:hideMark/>
          </w:tcPr>
          <w:p w:rsidR="007419BF" w:rsidRPr="00182842" w:rsidRDefault="007419BF" w:rsidP="00182842">
            <w:pPr>
              <w:pStyle w:val="TableHeader"/>
            </w:pPr>
            <w:r w:rsidRPr="00182842">
              <w:t>Rate</w:t>
            </w:r>
          </w:p>
        </w:tc>
        <w:tc>
          <w:tcPr>
            <w:tcW w:w="829" w:type="pct"/>
            <w:tcBorders>
              <w:top w:val="nil"/>
              <w:left w:val="nil"/>
              <w:bottom w:val="single" w:sz="4" w:space="0" w:color="auto"/>
              <w:right w:val="single" w:sz="4" w:space="0" w:color="FFFFFF"/>
            </w:tcBorders>
            <w:shd w:val="clear" w:color="auto" w:fill="1F497D" w:themeFill="text2"/>
            <w:vAlign w:val="center"/>
            <w:hideMark/>
          </w:tcPr>
          <w:p w:rsidR="007419BF" w:rsidRPr="00182842" w:rsidRDefault="007419BF" w:rsidP="00182842">
            <w:pPr>
              <w:pStyle w:val="TableHeader"/>
            </w:pPr>
            <w:r w:rsidRPr="00182842">
              <w:t xml:space="preserve">Off-Peak </w:t>
            </w:r>
          </w:p>
        </w:tc>
        <w:tc>
          <w:tcPr>
            <w:tcW w:w="987" w:type="pct"/>
            <w:tcBorders>
              <w:top w:val="nil"/>
              <w:left w:val="nil"/>
              <w:bottom w:val="single" w:sz="4" w:space="0" w:color="auto"/>
              <w:right w:val="single" w:sz="4" w:space="0" w:color="FFFFFF"/>
            </w:tcBorders>
            <w:shd w:val="clear" w:color="auto" w:fill="1F497D" w:themeFill="text2"/>
            <w:vAlign w:val="center"/>
            <w:hideMark/>
          </w:tcPr>
          <w:p w:rsidR="007419BF" w:rsidRPr="00182842" w:rsidRDefault="007419BF" w:rsidP="00182842">
            <w:pPr>
              <w:pStyle w:val="TableHeader"/>
            </w:pPr>
            <w:r w:rsidRPr="00182842">
              <w:t>Semi-Peak</w:t>
            </w:r>
          </w:p>
        </w:tc>
        <w:tc>
          <w:tcPr>
            <w:tcW w:w="773" w:type="pct"/>
            <w:tcBorders>
              <w:top w:val="nil"/>
              <w:left w:val="nil"/>
              <w:bottom w:val="single" w:sz="4" w:space="0" w:color="auto"/>
              <w:right w:val="single" w:sz="4" w:space="0" w:color="FFFFFF"/>
            </w:tcBorders>
            <w:shd w:val="clear" w:color="auto" w:fill="1F497D" w:themeFill="text2"/>
            <w:vAlign w:val="center"/>
            <w:hideMark/>
          </w:tcPr>
          <w:p w:rsidR="007419BF" w:rsidRPr="00182842" w:rsidRDefault="007419BF" w:rsidP="00182842">
            <w:pPr>
              <w:pStyle w:val="TableHeader"/>
            </w:pPr>
            <w:r w:rsidRPr="00182842">
              <w:t>Peak</w:t>
            </w:r>
          </w:p>
        </w:tc>
        <w:tc>
          <w:tcPr>
            <w:tcW w:w="829" w:type="pct"/>
            <w:tcBorders>
              <w:top w:val="nil"/>
              <w:left w:val="nil"/>
              <w:bottom w:val="single" w:sz="4" w:space="0" w:color="auto"/>
              <w:right w:val="single" w:sz="4" w:space="0" w:color="FFFFFF"/>
            </w:tcBorders>
            <w:shd w:val="clear" w:color="auto" w:fill="1F497D" w:themeFill="text2"/>
            <w:vAlign w:val="center"/>
            <w:hideMark/>
          </w:tcPr>
          <w:p w:rsidR="007419BF" w:rsidRPr="00182842" w:rsidRDefault="007419BF" w:rsidP="00182842">
            <w:pPr>
              <w:pStyle w:val="TableHeader"/>
            </w:pPr>
            <w:r w:rsidRPr="00182842">
              <w:t>Off-Peak</w:t>
            </w:r>
          </w:p>
        </w:tc>
        <w:tc>
          <w:tcPr>
            <w:tcW w:w="969" w:type="pct"/>
            <w:tcBorders>
              <w:top w:val="nil"/>
              <w:left w:val="nil"/>
              <w:bottom w:val="single" w:sz="4" w:space="0" w:color="auto"/>
              <w:right w:val="single" w:sz="4" w:space="0" w:color="auto"/>
            </w:tcBorders>
            <w:shd w:val="clear" w:color="auto" w:fill="1F497D" w:themeFill="text2"/>
            <w:vAlign w:val="center"/>
            <w:hideMark/>
          </w:tcPr>
          <w:p w:rsidR="007419BF" w:rsidRPr="00182842" w:rsidRDefault="007419BF" w:rsidP="00182842">
            <w:pPr>
              <w:pStyle w:val="TableHeader"/>
            </w:pPr>
            <w:r w:rsidRPr="00182842">
              <w:t>Semi-peak</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A1</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0.19304</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0.21303</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0.2196</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0.13798</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0.15205</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A6</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0.13849</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0.22507</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0.44004</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0.12849</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0.15256</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A10</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0.16135</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0.17919</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0.18506</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0.11527</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0.13057</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E19</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0.09888</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0.15527</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0.31779</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0.1018</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0.12024</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E20</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0.13555</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0.18384</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0.33141</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0.13642</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0.15356</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AG4A</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0.15367</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NA</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0.3232</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0.12491</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0.15042</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AG4B</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0.13539</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NA</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0.27138</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0.10787</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0.12595</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AG5A</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0.13905</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NA</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0.25218</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0.11327</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0.13242</w:t>
            </w:r>
          </w:p>
        </w:tc>
      </w:tr>
      <w:tr w:rsidR="007419BF" w:rsidRPr="001208FE" w:rsidTr="00D34A05">
        <w:trPr>
          <w:trHeight w:val="300"/>
          <w:jc w:val="center"/>
        </w:trPr>
        <w:tc>
          <w:tcPr>
            <w:tcW w:w="613" w:type="pct"/>
            <w:tcBorders>
              <w:top w:val="nil"/>
              <w:left w:val="single" w:sz="4" w:space="0" w:color="auto"/>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AG5B</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0.09386</w:t>
            </w:r>
          </w:p>
        </w:tc>
        <w:tc>
          <w:tcPr>
            <w:tcW w:w="987"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NA</w:t>
            </w:r>
          </w:p>
        </w:tc>
        <w:tc>
          <w:tcPr>
            <w:tcW w:w="773"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0.25504</w:t>
            </w:r>
          </w:p>
        </w:tc>
        <w:tc>
          <w:tcPr>
            <w:tcW w:w="82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0.07576</w:t>
            </w:r>
          </w:p>
        </w:tc>
        <w:tc>
          <w:tcPr>
            <w:tcW w:w="969" w:type="pct"/>
            <w:tcBorders>
              <w:top w:val="nil"/>
              <w:left w:val="nil"/>
              <w:bottom w:val="single" w:sz="4" w:space="0" w:color="auto"/>
              <w:right w:val="single" w:sz="4" w:space="0" w:color="auto"/>
            </w:tcBorders>
            <w:shd w:val="clear" w:color="auto" w:fill="auto"/>
            <w:vAlign w:val="center"/>
            <w:hideMark/>
          </w:tcPr>
          <w:p w:rsidR="007419BF" w:rsidRPr="001208FE" w:rsidRDefault="007419BF" w:rsidP="007419BF">
            <w:pPr>
              <w:pStyle w:val="TableText"/>
            </w:pPr>
            <w:r w:rsidRPr="001208FE">
              <w:t>0.09732</w:t>
            </w:r>
          </w:p>
        </w:tc>
      </w:tr>
    </w:tbl>
    <w:p w:rsidR="007419BF" w:rsidRDefault="007419BF" w:rsidP="007419BF">
      <w:pPr>
        <w:pStyle w:val="BodyParagraph"/>
      </w:pPr>
    </w:p>
    <w:p w:rsidR="007419BF" w:rsidRDefault="007419BF" w:rsidP="007419BF">
      <w:pPr>
        <w:pStyle w:val="AppendixHeading"/>
      </w:pPr>
      <w:r>
        <w:br w:type="column"/>
      </w:r>
      <w:bookmarkStart w:id="44" w:name="_Toc348688770"/>
      <w:bookmarkStart w:id="45" w:name="_Toc350519899"/>
      <w:r>
        <w:lastRenderedPageBreak/>
        <w:t xml:space="preserve">Application of Price </w:t>
      </w:r>
      <w:proofErr w:type="spellStart"/>
      <w:r>
        <w:t>Elasticities</w:t>
      </w:r>
      <w:bookmarkEnd w:id="44"/>
      <w:bookmarkEnd w:id="45"/>
      <w:proofErr w:type="spellEnd"/>
    </w:p>
    <w:p w:rsidR="007419BF" w:rsidRDefault="007419BF" w:rsidP="007419BF">
      <w:pPr>
        <w:pStyle w:val="BodyParagraph"/>
      </w:pPr>
      <w:r>
        <w:t xml:space="preserve">This appendix summarizes the application of price </w:t>
      </w:r>
      <w:proofErr w:type="spellStart"/>
      <w:r>
        <w:t>elasticities</w:t>
      </w:r>
      <w:proofErr w:type="spellEnd"/>
      <w:r>
        <w:t xml:space="preserve"> to estimate electricity use with TOU rates.  To estimate the use with TOU rates, we rely on old usage pattern, old rates and alternate rates</w:t>
      </w:r>
      <w:r w:rsidR="00BD5EDE">
        <w:t> </w:t>
      </w:r>
      <w:r>
        <w:t>by rate block as well as estimates of daily own-price elasticity and the elasti</w:t>
      </w:r>
      <w:r w:rsidR="00D1175B">
        <w:t>city of substitution.    Table E</w:t>
      </w:r>
      <w:r>
        <w:t>-1 defines the variables used in the formula to calculate usage patterns given the change in prices.</w:t>
      </w:r>
    </w:p>
    <w:p w:rsidR="007419BF" w:rsidRPr="007749E2" w:rsidRDefault="00D1175B" w:rsidP="007419BF">
      <w:pPr>
        <w:pStyle w:val="TableFigureCaption"/>
      </w:pPr>
      <w:r>
        <w:t>Table E</w:t>
      </w:r>
      <w:r w:rsidR="007419BF">
        <w:t>-1</w:t>
      </w:r>
      <w:r w:rsidR="007419BF" w:rsidRPr="00BC0DBA">
        <w:t>:</w:t>
      </w:r>
      <w:r w:rsidR="007419BF">
        <w:t xml:space="preserve"> Definition of Variables in Price Elasticity Formulas</w:t>
      </w:r>
    </w:p>
    <w:tbl>
      <w:tblPr>
        <w:tblW w:w="5470" w:type="dxa"/>
        <w:jc w:val="center"/>
        <w:tblLook w:val="04A0" w:firstRow="1" w:lastRow="0" w:firstColumn="1" w:lastColumn="0" w:noHBand="0" w:noVBand="1"/>
      </w:tblPr>
      <w:tblGrid>
        <w:gridCol w:w="995"/>
        <w:gridCol w:w="4510"/>
      </w:tblGrid>
      <w:tr w:rsidR="007419BF" w:rsidRPr="007749E2" w:rsidTr="00182842">
        <w:trPr>
          <w:trHeight w:val="300"/>
          <w:jc w:val="center"/>
        </w:trPr>
        <w:tc>
          <w:tcPr>
            <w:tcW w:w="960" w:type="dxa"/>
            <w:tcBorders>
              <w:top w:val="single" w:sz="4" w:space="0" w:color="auto"/>
              <w:left w:val="single" w:sz="4" w:space="0" w:color="auto"/>
              <w:bottom w:val="single" w:sz="4" w:space="0" w:color="auto"/>
              <w:right w:val="single" w:sz="4" w:space="0" w:color="FFFFFF"/>
            </w:tcBorders>
            <w:shd w:val="clear" w:color="000000" w:fill="1F497D" w:themeFill="text2"/>
            <w:noWrap/>
            <w:vAlign w:val="center"/>
            <w:hideMark/>
          </w:tcPr>
          <w:p w:rsidR="007419BF" w:rsidRPr="007749E2" w:rsidRDefault="007419BF" w:rsidP="00D34A05">
            <w:pPr>
              <w:pStyle w:val="TableHeader"/>
            </w:pPr>
            <w:r w:rsidRPr="007749E2">
              <w:t>Variable</w:t>
            </w:r>
          </w:p>
        </w:tc>
        <w:tc>
          <w:tcPr>
            <w:tcW w:w="4510" w:type="dxa"/>
            <w:tcBorders>
              <w:top w:val="single" w:sz="4" w:space="0" w:color="auto"/>
              <w:left w:val="nil"/>
              <w:bottom w:val="single" w:sz="4" w:space="0" w:color="auto"/>
              <w:right w:val="single" w:sz="4" w:space="0" w:color="auto"/>
            </w:tcBorders>
            <w:shd w:val="clear" w:color="000000" w:fill="1F497D" w:themeFill="text2"/>
            <w:noWrap/>
            <w:vAlign w:val="center"/>
            <w:hideMark/>
          </w:tcPr>
          <w:p w:rsidR="007419BF" w:rsidRPr="007749E2" w:rsidRDefault="007419BF" w:rsidP="00D34A05">
            <w:pPr>
              <w:pStyle w:val="TableHeader"/>
            </w:pPr>
            <w:r w:rsidRPr="007749E2">
              <w:t>Definition</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t>d</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Daily own-price elasticity of demand</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b</w:t>
            </w:r>
            <w:r w:rsidRPr="007749E2">
              <w:rPr>
                <w:vertAlign w:val="subscript"/>
              </w:rPr>
              <w:t>12</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proofErr w:type="spellStart"/>
            <w:r w:rsidRPr="007749E2">
              <w:t>EoS</w:t>
            </w:r>
            <w:proofErr w:type="spellEnd"/>
            <w:r w:rsidRPr="007749E2">
              <w:t xml:space="preserve"> between the peak and semi-peak rate blocks</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b</w:t>
            </w:r>
            <w:r w:rsidRPr="007749E2">
              <w:rPr>
                <w:vertAlign w:val="subscript"/>
              </w:rPr>
              <w:t>23</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proofErr w:type="spellStart"/>
            <w:r w:rsidRPr="007749E2">
              <w:t>EoS</w:t>
            </w:r>
            <w:proofErr w:type="spellEnd"/>
            <w:r w:rsidRPr="007749E2">
              <w:t xml:space="preserve"> between the semi-peak and off-peak rate blocks</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k1</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Old 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k2</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Old semi-peak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k3</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Old off-peak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Old daily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k1'</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New 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k2'</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New semi-peak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k3'</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New off-peak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k'</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New daily usage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p1</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Old 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p2</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Old semi-peak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p3</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Old off-peak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Old daily 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p1'</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New 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p2'</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New semi-peak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p3'</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 xml:space="preserve">New off-peak </w:t>
            </w:r>
            <w:r>
              <w:t>price</w:t>
            </w:r>
          </w:p>
        </w:tc>
      </w:tr>
      <w:tr w:rsidR="007419BF" w:rsidRPr="007749E2" w:rsidTr="0018284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419BF" w:rsidRPr="007749E2" w:rsidRDefault="007419BF" w:rsidP="00D34A05">
            <w:pPr>
              <w:pStyle w:val="TableText"/>
            </w:pPr>
            <w:r w:rsidRPr="007749E2">
              <w:t>p'</w:t>
            </w:r>
          </w:p>
        </w:tc>
        <w:tc>
          <w:tcPr>
            <w:tcW w:w="4510" w:type="dxa"/>
            <w:tcBorders>
              <w:top w:val="nil"/>
              <w:left w:val="nil"/>
              <w:bottom w:val="single" w:sz="4" w:space="0" w:color="auto"/>
              <w:right w:val="single" w:sz="4" w:space="0" w:color="auto"/>
            </w:tcBorders>
            <w:shd w:val="clear" w:color="auto" w:fill="auto"/>
            <w:noWrap/>
            <w:vAlign w:val="center"/>
            <w:hideMark/>
          </w:tcPr>
          <w:p w:rsidR="007419BF" w:rsidRPr="007749E2" w:rsidRDefault="007419BF" w:rsidP="00D34A05">
            <w:pPr>
              <w:pStyle w:val="TableText"/>
              <w:jc w:val="left"/>
            </w:pPr>
            <w:r w:rsidRPr="007749E2">
              <w:t>New daily price</w:t>
            </w:r>
          </w:p>
        </w:tc>
      </w:tr>
    </w:tbl>
    <w:p w:rsidR="007419BF" w:rsidRDefault="007419BF" w:rsidP="007419BF">
      <w:pPr>
        <w:pStyle w:val="BodyParaAfterTableFigure"/>
      </w:pPr>
      <w:r>
        <w:t>Using the above variables, the parameters a</w:t>
      </w:r>
      <w:r w:rsidRPr="007749E2">
        <w:rPr>
          <w:vertAlign w:val="subscript"/>
        </w:rPr>
        <w:t>12</w:t>
      </w:r>
      <w:r>
        <w:t xml:space="preserve"> and a</w:t>
      </w:r>
      <w:r>
        <w:rPr>
          <w:vertAlign w:val="subscript"/>
        </w:rPr>
        <w:t>23</w:t>
      </w:r>
      <w:r>
        <w:t xml:space="preserve"> are defined as</w:t>
      </w:r>
    </w:p>
    <w:p w:rsidR="007419BF" w:rsidRPr="000B447F" w:rsidRDefault="00DD79FE" w:rsidP="007419BF">
      <w:pPr>
        <w:pStyle w:val="BodyParagraph"/>
        <w:jc w:val="center"/>
      </w:pPr>
      <m:oMath>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k1</m:t>
                    </m:r>
                  </m:num>
                  <m:den>
                    <m:r>
                      <w:rPr>
                        <w:rFonts w:ascii="Cambria Math" w:hAnsi="Cambria Math"/>
                      </w:rPr>
                      <m:t>k2</m:t>
                    </m:r>
                  </m:den>
                </m:f>
              </m:e>
            </m:d>
            <m:ctrlPr>
              <w:rPr>
                <w:rFonts w:ascii="Cambria Math" w:hAnsi="Cambria Math"/>
                <w:i/>
              </w:rPr>
            </m:ctrlPr>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12</m:t>
            </m:r>
          </m:sub>
        </m:sSub>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p</m:t>
                    </m:r>
                    <m:sSup>
                      <m:sSupPr>
                        <m:ctrlPr>
                          <w:rPr>
                            <w:rFonts w:ascii="Cambria Math" w:hAnsi="Cambria Math"/>
                            <w:i/>
                          </w:rPr>
                        </m:ctrlPr>
                      </m:sSupPr>
                      <m:e>
                        <m:r>
                          <w:rPr>
                            <w:rFonts w:ascii="Cambria Math" w:hAnsi="Cambria Math"/>
                          </w:rPr>
                          <m:t>1</m:t>
                        </m:r>
                      </m:e>
                      <m:sup>
                        <m:r>
                          <w:rPr>
                            <w:rFonts w:ascii="Cambria Math" w:hAnsi="Cambria Math"/>
                          </w:rPr>
                          <m:t>'</m:t>
                        </m:r>
                      </m:sup>
                    </m:sSup>
                  </m:num>
                  <m:den>
                    <m:r>
                      <w:rPr>
                        <w:rFonts w:ascii="Cambria Math" w:hAnsi="Cambria Math"/>
                      </w:rPr>
                      <m:t>p</m:t>
                    </m:r>
                    <m:sSup>
                      <m:sSupPr>
                        <m:ctrlPr>
                          <w:rPr>
                            <w:rFonts w:ascii="Cambria Math" w:hAnsi="Cambria Math"/>
                            <w:i/>
                          </w:rPr>
                        </m:ctrlPr>
                      </m:sSupPr>
                      <m:e>
                        <m:r>
                          <w:rPr>
                            <w:rFonts w:ascii="Cambria Math" w:hAnsi="Cambria Math"/>
                          </w:rPr>
                          <m:t>2</m:t>
                        </m:r>
                      </m:e>
                      <m:sup>
                        <m:r>
                          <w:rPr>
                            <w:rFonts w:ascii="Cambria Math" w:hAnsi="Cambria Math"/>
                          </w:rPr>
                          <m:t>'</m:t>
                        </m:r>
                      </m:sup>
                    </m:sSup>
                  </m:den>
                </m:f>
              </m:e>
            </m:d>
            <m:ctrlPr>
              <w:rPr>
                <w:rFonts w:ascii="Cambria Math" w:hAnsi="Cambria Math"/>
                <w:i/>
              </w:rPr>
            </m:ctrlPr>
          </m:e>
        </m:func>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p1</m:t>
                    </m:r>
                  </m:num>
                  <m:den>
                    <m:r>
                      <w:rPr>
                        <w:rFonts w:ascii="Cambria Math" w:hAnsi="Cambria Math"/>
                      </w:rPr>
                      <m:t>p2</m:t>
                    </m:r>
                  </m:den>
                </m:f>
              </m:e>
            </m:d>
            <m:ctrlPr>
              <w:rPr>
                <w:rFonts w:ascii="Cambria Math" w:hAnsi="Cambria Math"/>
                <w:i/>
              </w:rPr>
            </m:ctrlPr>
          </m:e>
        </m:func>
        <m:r>
          <w:rPr>
            <w:rFonts w:ascii="Cambria Math" w:hAnsi="Cambria Math"/>
          </w:rPr>
          <m:t>)</m:t>
        </m:r>
      </m:oMath>
      <w:r w:rsidR="007419BF">
        <w:t xml:space="preserve"> and</w:t>
      </w:r>
    </w:p>
    <w:p w:rsidR="007419BF" w:rsidRDefault="00DD79FE" w:rsidP="007419BF">
      <w:pPr>
        <w:pStyle w:val="BodyParagraph"/>
        <w:jc w:val="center"/>
      </w:pPr>
      <m:oMath>
        <m:sSub>
          <m:sSubPr>
            <m:ctrlPr>
              <w:rPr>
                <w:rFonts w:ascii="Cambria Math" w:hAnsi="Cambria Math"/>
                <w:i/>
              </w:rPr>
            </m:ctrlPr>
          </m:sSubPr>
          <m:e>
            <m:r>
              <w:rPr>
                <w:rFonts w:ascii="Cambria Math" w:hAnsi="Cambria Math"/>
              </w:rPr>
              <m:t>a</m:t>
            </m:r>
          </m:e>
          <m:sub>
            <m:r>
              <w:rPr>
                <w:rFonts w:ascii="Cambria Math" w:hAnsi="Cambria Math"/>
              </w:rPr>
              <m:t>23</m:t>
            </m:r>
          </m:sub>
        </m:sSub>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k2</m:t>
                    </m:r>
                  </m:num>
                  <m:den>
                    <m:r>
                      <w:rPr>
                        <w:rFonts w:ascii="Cambria Math" w:hAnsi="Cambria Math"/>
                      </w:rPr>
                      <m:t>k3</m:t>
                    </m:r>
                  </m:den>
                </m:f>
              </m:e>
            </m:d>
            <m:ctrlPr>
              <w:rPr>
                <w:rFonts w:ascii="Cambria Math" w:hAnsi="Cambria Math"/>
                <w:i/>
              </w:rPr>
            </m:ctrlPr>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23</m:t>
            </m:r>
          </m:sub>
        </m:sSub>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p2</m:t>
                    </m:r>
                  </m:num>
                  <m:den>
                    <m:r>
                      <w:rPr>
                        <w:rFonts w:ascii="Cambria Math" w:hAnsi="Cambria Math"/>
                      </w:rPr>
                      <m:t>p</m:t>
                    </m:r>
                    <m:sSup>
                      <m:sSupPr>
                        <m:ctrlPr>
                          <w:rPr>
                            <w:rFonts w:ascii="Cambria Math" w:hAnsi="Cambria Math"/>
                            <w:i/>
                          </w:rPr>
                        </m:ctrlPr>
                      </m:sSupPr>
                      <m:e>
                        <m:r>
                          <w:rPr>
                            <w:rFonts w:ascii="Cambria Math" w:hAnsi="Cambria Math"/>
                          </w:rPr>
                          <m:t>3</m:t>
                        </m:r>
                      </m:e>
                      <m:sup>
                        <m:r>
                          <w:rPr>
                            <w:rFonts w:ascii="Cambria Math" w:hAnsi="Cambria Math"/>
                          </w:rPr>
                          <m:t>'</m:t>
                        </m:r>
                      </m:sup>
                    </m:sSup>
                  </m:den>
                </m:f>
              </m:e>
            </m:d>
            <m:ctrlPr>
              <w:rPr>
                <w:rFonts w:ascii="Cambria Math" w:hAnsi="Cambria Math"/>
                <w:i/>
              </w:rPr>
            </m:ctrlPr>
          </m:e>
        </m:func>
        <m:r>
          <w:rPr>
            <w:rFonts w:ascii="Cambria Math" w:hAnsi="Cambria Math"/>
          </w:rPr>
          <m:t>-</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p2</m:t>
                    </m:r>
                  </m:num>
                  <m:den>
                    <m:r>
                      <w:rPr>
                        <w:rFonts w:ascii="Cambria Math" w:hAnsi="Cambria Math"/>
                      </w:rPr>
                      <m:t>p3</m:t>
                    </m:r>
                  </m:den>
                </m:f>
              </m:e>
            </m:d>
            <m:ctrlPr>
              <w:rPr>
                <w:rFonts w:ascii="Cambria Math" w:hAnsi="Cambria Math"/>
                <w:i/>
              </w:rPr>
            </m:ctrlPr>
          </m:e>
        </m:func>
        <m:r>
          <w:rPr>
            <w:rFonts w:ascii="Cambria Math" w:hAnsi="Cambria Math"/>
          </w:rPr>
          <m:t>)</m:t>
        </m:r>
      </m:oMath>
      <w:r w:rsidR="007419BF">
        <w:t>.</w:t>
      </w:r>
    </w:p>
    <w:p w:rsidR="007419BF" w:rsidRDefault="007419BF" w:rsidP="007419BF">
      <w:pPr>
        <w:pStyle w:val="BodyParaAfterTableFigure"/>
      </w:pPr>
      <w:r>
        <w:t>New usage is calculated first for the average hour across the whole day as</w:t>
      </w:r>
    </w:p>
    <w:p w:rsidR="007419BF" w:rsidRPr="000B447F" w:rsidRDefault="00DD79FE" w:rsidP="007419BF">
      <w:pPr>
        <w:pStyle w:val="BodyParagraph"/>
        <w:jc w:val="center"/>
      </w:pP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=k*</m:t>
        </m:r>
        <m:sSup>
          <m:sSupPr>
            <m:ctrlPr>
              <w:rPr>
                <w:rFonts w:ascii="Cambria Math" w:hAnsi="Cambria Math"/>
                <w:i/>
              </w:rPr>
            </m:ctrlPr>
          </m:sSupPr>
          <m:e>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p</m:t>
                    </m:r>
                  </m:e>
                  <m:sup>
                    <m:r>
                      <w:rPr>
                        <w:rFonts w:ascii="Cambria Math" w:hAnsi="Cambria Math"/>
                      </w:rPr>
                      <m:t>'</m:t>
                    </m:r>
                  </m:sup>
                </m:sSup>
              </m:num>
              <m:den>
                <m:r>
                  <w:rPr>
                    <w:rFonts w:ascii="Cambria Math" w:hAnsi="Cambria Math"/>
                  </w:rPr>
                  <m:t>p</m:t>
                </m:r>
              </m:den>
            </m:f>
            <m:r>
              <w:rPr>
                <w:rFonts w:ascii="Cambria Math" w:hAnsi="Cambria Math"/>
              </w:rPr>
              <m:t>)</m:t>
            </m:r>
          </m:e>
          <m:sup>
            <m:r>
              <w:rPr>
                <w:rFonts w:ascii="Cambria Math" w:hAnsi="Cambria Math"/>
              </w:rPr>
              <m:t>d</m:t>
            </m:r>
          </m:sup>
        </m:sSup>
      </m:oMath>
      <w:r w:rsidR="007419BF">
        <w:t>.</w:t>
      </w:r>
    </w:p>
    <w:p w:rsidR="007419BF" w:rsidRDefault="007419BF" w:rsidP="007419BF">
      <w:pPr>
        <w:pStyle w:val="BodyParaAfterTableFigure"/>
      </w:pPr>
      <w:r>
        <w:lastRenderedPageBreak/>
        <w:t>Using the calculation of daily usage for the average hour across the whole day, semi-peak usage is calculated as</w:t>
      </w:r>
    </w:p>
    <w:p w:rsidR="007419BF" w:rsidRDefault="007419BF" w:rsidP="007419BF">
      <w:pPr>
        <w:pStyle w:val="BodyParagraph"/>
        <w:jc w:val="center"/>
      </w:pP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f>
          <m:fPr>
            <m:ctrlPr>
              <w:rPr>
                <w:rFonts w:ascii="Cambria Math" w:hAnsi="Cambria Math"/>
                <w:i/>
              </w:rPr>
            </m:ctrlPr>
          </m:fPr>
          <m:num>
            <m:r>
              <w:rPr>
                <w:rFonts w:ascii="Cambria Math" w:hAnsi="Cambria Math"/>
              </w:rPr>
              <m:t>24k'</m:t>
            </m:r>
          </m:num>
          <m:den>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a</m:t>
                    </m:r>
                  </m:e>
                  <m:sub>
                    <m:r>
                      <w:rPr>
                        <w:rFonts w:ascii="Cambria Math" w:hAnsi="Cambria Math"/>
                      </w:rPr>
                      <m:t>12</m:t>
                    </m:r>
                  </m:sub>
                </m:sSub>
              </m:sup>
            </m:sSup>
            <m:r>
              <w:rPr>
                <w:rFonts w:ascii="Cambria Math" w:hAnsi="Cambria Math"/>
              </w:rPr>
              <m:t>h1+</m:t>
            </m:r>
            <m:r>
              <w:rPr>
                <w:rFonts w:ascii="Cambria Math" w:hAnsi="Cambria Math"/>
              </w:rPr>
              <m:t>h</m:t>
            </m:r>
            <m:r>
              <w:rPr>
                <w:rFonts w:ascii="Cambria Math" w:hAnsi="Cambria Math"/>
              </w:rPr>
              <m:t>2+</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-a</m:t>
                    </m:r>
                  </m:e>
                  <m:sub>
                    <m:r>
                      <w:rPr>
                        <w:rFonts w:ascii="Cambria Math" w:hAnsi="Cambria Math"/>
                      </w:rPr>
                      <m:t>23</m:t>
                    </m:r>
                  </m:sub>
                </m:sSub>
              </m:sup>
            </m:sSup>
            <m:r>
              <w:rPr>
                <w:rFonts w:ascii="Cambria Math" w:hAnsi="Cambria Math"/>
              </w:rPr>
              <m:t>h3</m:t>
            </m:r>
          </m:den>
        </m:f>
      </m:oMath>
      <w:r>
        <w:t>,</w:t>
      </w:r>
    </w:p>
    <w:p w:rsidR="007419BF" w:rsidRDefault="007419BF" w:rsidP="007419BF">
      <w:pPr>
        <w:pStyle w:val="BodyParaAfterTableFigure"/>
        <w:spacing w:before="240"/>
      </w:pPr>
      <w:r>
        <w:t xml:space="preserve">Where </w:t>
      </w:r>
      <w:proofErr w:type="spellStart"/>
      <w:r>
        <w:t>h</w:t>
      </w:r>
      <w:r w:rsidRPr="000B447F">
        <w:rPr>
          <w:vertAlign w:val="subscript"/>
        </w:rPr>
        <w:t>n</w:t>
      </w:r>
      <w:proofErr w:type="spellEnd"/>
      <w:r>
        <w:t xml:space="preserve"> is the number of hours in period n.  Peak period usage is calculated as </w:t>
      </w:r>
    </w:p>
    <w:p w:rsidR="007419BF" w:rsidRDefault="00DD79FE" w:rsidP="007419BF">
      <w:pPr>
        <w:pStyle w:val="BodyParagraph"/>
        <w:jc w:val="center"/>
      </w:pPr>
      <m:oMath>
        <m:sSup>
          <m:sSupPr>
            <m:ctrlPr>
              <w:rPr>
                <w:rFonts w:ascii="Cambria Math" w:hAnsi="Cambria Math"/>
                <w:i/>
              </w:rPr>
            </m:ctrlPr>
          </m:sSupPr>
          <m:e>
            <m:r>
              <w:rPr>
                <w:rFonts w:ascii="Cambria Math" w:hAnsi="Cambria Math"/>
              </w:rPr>
              <m:t>k1</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a</m:t>
                </m:r>
              </m:e>
              <m:sub>
                <m:r>
                  <w:rPr>
                    <w:rFonts w:ascii="Cambria Math" w:hAnsi="Cambria Math"/>
                  </w:rPr>
                  <m:t>12</m:t>
                </m:r>
              </m:sub>
            </m:sSub>
          </m:sup>
        </m:sSup>
        <m:r>
          <w:rPr>
            <w:rFonts w:ascii="Cambria Math" w:hAnsi="Cambria Math"/>
          </w:rPr>
          <m:t>k2'</m:t>
        </m:r>
      </m:oMath>
      <w:r w:rsidR="007419BF">
        <w:t>.</w:t>
      </w:r>
    </w:p>
    <w:p w:rsidR="007419BF" w:rsidRPr="000B447F" w:rsidRDefault="007419BF" w:rsidP="007419BF">
      <w:pPr>
        <w:pStyle w:val="BodyParaAfterTableFigure"/>
      </w:pPr>
      <w:r>
        <w:t xml:space="preserve">And usage in the off-peak period is calculated as </w:t>
      </w:r>
    </w:p>
    <w:p w:rsidR="007419BF" w:rsidRDefault="00DD79FE" w:rsidP="007419BF">
      <w:pPr>
        <w:pStyle w:val="BodyParagraph"/>
        <w:jc w:val="center"/>
      </w:pPr>
      <m:oMathPara>
        <m:oMath>
          <m:sSup>
            <m:sSupPr>
              <m:ctrlPr>
                <w:rPr>
                  <w:rFonts w:ascii="Cambria Math" w:hAnsi="Cambria Math"/>
                  <w:i/>
                </w:rPr>
              </m:ctrlPr>
            </m:sSupPr>
            <m:e>
              <m:r>
                <w:rPr>
                  <w:rFonts w:ascii="Cambria Math" w:hAnsi="Cambria Math"/>
                </w:rPr>
                <m:t>k3</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-a</m:t>
                  </m:r>
                </m:e>
                <m:sub>
                  <m:r>
                    <w:rPr>
                      <w:rFonts w:ascii="Cambria Math" w:hAnsi="Cambria Math"/>
                    </w:rPr>
                    <m:t>23</m:t>
                  </m:r>
                </m:sub>
              </m:sSub>
            </m:sup>
          </m:sSup>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oMath>
      </m:oMathPara>
    </w:p>
    <w:p w:rsidR="007419BF" w:rsidRPr="000B447F" w:rsidRDefault="007419BF" w:rsidP="007419BF">
      <w:pPr>
        <w:pStyle w:val="BodyParaAfterTableFigure"/>
      </w:pPr>
      <w:r>
        <w:t>The final outputs from these calculations were percent impacts under TOU by rate block season and day type for customers in each profile split up by LCA and demand category.</w:t>
      </w:r>
    </w:p>
    <w:p w:rsidR="007419BF" w:rsidRDefault="007419BF" w:rsidP="007419BF">
      <w:pPr>
        <w:pStyle w:val="BodyParagraph"/>
      </w:pPr>
    </w:p>
    <w:sectPr w:rsidR="007419BF" w:rsidSect="007419BF">
      <w:head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5003" w:rsidRDefault="00F55003" w:rsidP="00DB35F9">
      <w:pPr>
        <w:spacing w:after="0" w:line="240" w:lineRule="auto"/>
      </w:pPr>
      <w:r>
        <w:separator/>
      </w:r>
    </w:p>
  </w:endnote>
  <w:endnote w:type="continuationSeparator" w:id="0">
    <w:p w:rsidR="00F55003" w:rsidRDefault="00F55003" w:rsidP="00DB35F9">
      <w:pPr>
        <w:spacing w:after="0" w:line="240" w:lineRule="auto"/>
      </w:pPr>
      <w:r>
        <w:continuationSeparator/>
      </w:r>
    </w:p>
  </w:endnote>
  <w:endnote w:type="continuationNotice" w:id="1">
    <w:p w:rsidR="00F55003" w:rsidRDefault="00F550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itilliumText22L Rg">
    <w:altName w:val="Arial"/>
    <w:panose1 w:val="00000000000000000000"/>
    <w:charset w:val="00"/>
    <w:family w:val="modern"/>
    <w:notTrueType/>
    <w:pitch w:val="variable"/>
    <w:sig w:usb0="A00000EF" w:usb1="0000004B" w:usb2="00000000" w:usb3="00000000" w:csb0="00000193" w:csb1="00000000"/>
  </w:font>
  <w:font w:name="TitilliumText22L Xb">
    <w:altName w:val="Arial"/>
    <w:panose1 w:val="00000000000000000000"/>
    <w:charset w:val="00"/>
    <w:family w:val="modern"/>
    <w:notTrueType/>
    <w:pitch w:val="variable"/>
    <w:sig w:usb0="00000001" w:usb1="0000004B" w:usb2="00000000" w:usb3="00000000" w:csb0="00000193"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F55003" w:rsidP="002C5BF9">
    <w:pPr>
      <w:pStyle w:val="Footer"/>
      <w:jc w:val="right"/>
      <w:rPr>
        <w:rFonts w:ascii="TitilliumText22L Xb" w:eastAsiaTheme="minorHAnsi" w:hAnsi="TitilliumText22L Xb" w:cstheme="minorBidi"/>
        <w:szCs w:val="22"/>
      </w:rPr>
    </w:pPr>
    <w:r>
      <w:rPr>
        <w:rFonts w:ascii="TitilliumText22L Xb" w:hAnsi="TitilliumText22L Xb"/>
        <w:noProof/>
      </w:rPr>
      <w:drawing>
        <wp:anchor distT="0" distB="0" distL="114300" distR="114300" simplePos="0" relativeHeight="251662336" behindDoc="0" locked="0" layoutInCell="1" allowOverlap="1" wp14:anchorId="615C1834" wp14:editId="251972C3">
          <wp:simplePos x="0" y="0"/>
          <wp:positionH relativeFrom="column">
            <wp:posOffset>-135496</wp:posOffset>
          </wp:positionH>
          <wp:positionV relativeFrom="paragraph">
            <wp:posOffset>-118682</wp:posOffset>
          </wp:positionV>
          <wp:extent cx="2080206" cy="425002"/>
          <wp:effectExtent l="19050" t="0" r="0" b="0"/>
          <wp:wrapNone/>
          <wp:docPr id="3"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80206" cy="425002"/>
                  </a:xfrm>
                  <a:prstGeom prst="rect">
                    <a:avLst/>
                  </a:prstGeom>
                  <a:noFill/>
                </pic:spPr>
              </pic:pic>
            </a:graphicData>
          </a:graphic>
        </wp:anchor>
      </w:drawing>
    </w:r>
    <w:sdt>
      <w:sdtPr>
        <w:rPr>
          <w:rFonts w:ascii="TitilliumText22L Xb" w:hAnsi="TitilliumText22L Xb"/>
        </w:rPr>
        <w:id w:val="18682042"/>
        <w:docPartObj>
          <w:docPartGallery w:val="Page Numbers (Bottom of Page)"/>
          <w:docPartUnique/>
        </w:docPartObj>
      </w:sdtPr>
      <w:sdtEndPr/>
      <w:sdtContent>
        <w:r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Pr="00344C3B">
          <w:rPr>
            <w:rFonts w:ascii="Arial Black" w:hAnsi="Arial Black"/>
            <w:color w:val="808080" w:themeColor="background1" w:themeShade="80"/>
          </w:rPr>
          <w:fldChar w:fldCharType="separate"/>
        </w:r>
        <w:r>
          <w:rPr>
            <w:rFonts w:ascii="Arial Black" w:hAnsi="Arial Black"/>
            <w:noProof/>
            <w:color w:val="808080" w:themeColor="background1" w:themeShade="80"/>
          </w:rPr>
          <w:t>6</w:t>
        </w:r>
        <w:r w:rsidRPr="00344C3B">
          <w:rPr>
            <w:rFonts w:ascii="Arial Black" w:hAnsi="Arial Black"/>
            <w:color w:val="808080" w:themeColor="background1" w:themeShade="80"/>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0318"/>
      <w:docPartObj>
        <w:docPartGallery w:val="Page Numbers (Bottom of Page)"/>
        <w:docPartUnique/>
      </w:docPartObj>
    </w:sdtPr>
    <w:sdtEndPr/>
    <w:sdtContent>
      <w:p w:rsidR="00F55003" w:rsidRDefault="00DD79FE" w:rsidP="00DB35F9">
        <w:pPr>
          <w:pStyle w:val="Footer"/>
          <w:jc w:val="right"/>
        </w:pPr>
      </w:p>
    </w:sdtContent>
  </w:sdt>
  <w:p w:rsidR="00F55003" w:rsidRDefault="00F5500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Pr="00321715" w:rsidRDefault="00F55003" w:rsidP="00B50663">
    <w:pPr>
      <w:pStyle w:val="Footer"/>
      <w:jc w:val="right"/>
      <w:rPr>
        <w:sz w:val="20"/>
        <w:szCs w:val="20"/>
      </w:rPr>
    </w:pPr>
  </w:p>
  <w:p w:rsidR="00F55003" w:rsidRDefault="00F5500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7316703"/>
      <w:docPartObj>
        <w:docPartGallery w:val="Page Numbers (Bottom of Page)"/>
        <w:docPartUnique/>
      </w:docPartObj>
    </w:sdtPr>
    <w:sdtEndPr/>
    <w:sdtContent>
      <w:p w:rsidR="00F55003" w:rsidRPr="0036226B" w:rsidRDefault="00F55003" w:rsidP="00DB35F9">
        <w:pPr>
          <w:pStyle w:val="Footer"/>
          <w:jc w:val="right"/>
          <w:rPr>
            <w:rFonts w:ascii="TitilliumText22L Xb" w:hAnsi="TitilliumText22L Xb"/>
          </w:rPr>
        </w:pPr>
        <w:r w:rsidRPr="00344C3B">
          <w:rPr>
            <w:rFonts w:ascii="Arial Black" w:hAnsi="Arial Black"/>
            <w:noProof/>
            <w:color w:val="808080" w:themeColor="background1" w:themeShade="80"/>
          </w:rPr>
          <w:drawing>
            <wp:anchor distT="0" distB="0" distL="114300" distR="114300" simplePos="0" relativeHeight="251660288" behindDoc="0" locked="0" layoutInCell="1" allowOverlap="1" wp14:anchorId="40B3C262" wp14:editId="4B34FD26">
              <wp:simplePos x="0" y="0"/>
              <wp:positionH relativeFrom="column">
                <wp:posOffset>-133350</wp:posOffset>
              </wp:positionH>
              <wp:positionV relativeFrom="paragraph">
                <wp:posOffset>-97790</wp:posOffset>
              </wp:positionV>
              <wp:extent cx="2052320" cy="419100"/>
              <wp:effectExtent l="19050" t="0" r="5080" b="0"/>
              <wp:wrapNone/>
              <wp:docPr id="7"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52320" cy="419100"/>
                      </a:xfrm>
                      <a:prstGeom prst="rect">
                        <a:avLst/>
                      </a:prstGeom>
                      <a:noFill/>
                    </pic:spPr>
                  </pic:pic>
                </a:graphicData>
              </a:graphic>
            </wp:anchor>
          </w:drawing>
        </w:r>
        <w:r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Pr="00344C3B">
          <w:rPr>
            <w:rFonts w:ascii="Arial Black" w:hAnsi="Arial Black"/>
            <w:color w:val="808080" w:themeColor="background1" w:themeShade="80"/>
          </w:rPr>
          <w:fldChar w:fldCharType="separate"/>
        </w:r>
        <w:r w:rsidR="00DD79FE">
          <w:rPr>
            <w:rFonts w:ascii="Arial Black" w:hAnsi="Arial Black"/>
            <w:noProof/>
            <w:color w:val="808080" w:themeColor="background1" w:themeShade="80"/>
          </w:rPr>
          <w:t>26</w:t>
        </w:r>
        <w:r w:rsidRPr="00344C3B">
          <w:rPr>
            <w:rFonts w:ascii="Arial Black" w:hAnsi="Arial Black"/>
            <w:color w:val="808080" w:themeColor="background1" w:themeShade="8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Pr="00321715" w:rsidRDefault="00F55003" w:rsidP="00B50663">
    <w:pPr>
      <w:pStyle w:val="Footer"/>
      <w:jc w:val="right"/>
      <w:rPr>
        <w:sz w:val="20"/>
        <w:szCs w:val="20"/>
      </w:rPr>
    </w:pPr>
    <w:r w:rsidRPr="009D111C">
      <w:rPr>
        <w:rStyle w:val="PageNumber"/>
        <w:sz w:val="20"/>
        <w:szCs w:val="20"/>
      </w:rPr>
      <w:fldChar w:fldCharType="begin"/>
    </w:r>
    <w:r w:rsidRPr="009D111C">
      <w:rPr>
        <w:rStyle w:val="PageNumber"/>
        <w:sz w:val="20"/>
        <w:szCs w:val="20"/>
      </w:rPr>
      <w:instrText xml:space="preserve">PAGE  </w:instrText>
    </w:r>
    <w:r w:rsidRPr="009D111C">
      <w:rPr>
        <w:rStyle w:val="PageNumber"/>
        <w:sz w:val="20"/>
        <w:szCs w:val="20"/>
      </w:rPr>
      <w:fldChar w:fldCharType="separate"/>
    </w:r>
    <w:r>
      <w:rPr>
        <w:rStyle w:val="PageNumber"/>
        <w:noProof/>
        <w:sz w:val="20"/>
        <w:szCs w:val="20"/>
      </w:rPr>
      <w:t>58</w:t>
    </w:r>
    <w:r w:rsidRPr="009D111C">
      <w:rPr>
        <w:rStyle w:val="PageNumber"/>
        <w:sz w:val="20"/>
        <w:szCs w:val="20"/>
      </w:rPr>
      <w:fldChar w:fldCharType="end"/>
    </w:r>
  </w:p>
  <w:p w:rsidR="00F55003" w:rsidRDefault="00F550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5003" w:rsidRDefault="00F55003" w:rsidP="00DB35F9">
      <w:pPr>
        <w:spacing w:after="0" w:line="240" w:lineRule="auto"/>
      </w:pPr>
      <w:r>
        <w:separator/>
      </w:r>
    </w:p>
  </w:footnote>
  <w:footnote w:type="continuationSeparator" w:id="0">
    <w:p w:rsidR="00F55003" w:rsidRDefault="00F55003" w:rsidP="00DB35F9">
      <w:pPr>
        <w:spacing w:after="0" w:line="240" w:lineRule="auto"/>
      </w:pPr>
      <w:r>
        <w:continuationSeparator/>
      </w:r>
    </w:p>
  </w:footnote>
  <w:footnote w:type="continuationNotice" w:id="1">
    <w:p w:rsidR="00F55003" w:rsidRDefault="00F55003">
      <w:pPr>
        <w:spacing w:after="0" w:line="240" w:lineRule="auto"/>
      </w:pPr>
    </w:p>
  </w:footnote>
  <w:footnote w:id="2">
    <w:p w:rsidR="00F55003" w:rsidRPr="007E5C9D" w:rsidRDefault="00F55003" w:rsidP="00265FED">
      <w:pPr>
        <w:pStyle w:val="Footnote"/>
      </w:pPr>
      <w:r>
        <w:rPr>
          <w:rStyle w:val="FootnoteReference"/>
        </w:rPr>
        <w:footnoteRef/>
      </w:r>
      <w:r>
        <w:t xml:space="preserve"> </w:t>
      </w:r>
      <w:r w:rsidRPr="007E5C9D">
        <w:t>For the purpose of this study small customers are those with maximum demand levels below 20 kW and medium customers are those with demand levels between 20</w:t>
      </w:r>
      <w:r>
        <w:t xml:space="preserve"> </w:t>
      </w:r>
      <w:r w:rsidRPr="007E5C9D">
        <w:t>kW and 200 kW.</w:t>
      </w:r>
    </w:p>
  </w:footnote>
  <w:footnote w:id="3">
    <w:p w:rsidR="00F55003" w:rsidRDefault="00F55003" w:rsidP="00265FED">
      <w:pPr>
        <w:pStyle w:val="Footnote"/>
      </w:pPr>
      <w:r>
        <w:rPr>
          <w:rStyle w:val="FootnoteReference"/>
        </w:rPr>
        <w:footnoteRef/>
      </w:r>
      <w:r>
        <w:t xml:space="preserve"> Throughout this study the term </w:t>
      </w:r>
      <w:r w:rsidRPr="006E094F">
        <w:rPr>
          <w:i/>
        </w:rPr>
        <w:t>customer</w:t>
      </w:r>
      <w:r>
        <w:t xml:space="preserve"> is synonymous with </w:t>
      </w:r>
      <w:r w:rsidRPr="006E094F">
        <w:rPr>
          <w:i/>
        </w:rPr>
        <w:t>service account</w:t>
      </w:r>
      <w:r>
        <w:t>.</w:t>
      </w:r>
    </w:p>
  </w:footnote>
  <w:footnote w:id="4">
    <w:p w:rsidR="00F55003" w:rsidRDefault="00F55003" w:rsidP="00265FED">
      <w:pPr>
        <w:pStyle w:val="Footnote"/>
      </w:pPr>
      <w:r>
        <w:rPr>
          <w:rStyle w:val="FootnoteReference"/>
        </w:rPr>
        <w:footnoteRef/>
      </w:r>
      <w:r>
        <w:t xml:space="preserve"> These rates were effective as of January 1, 2013.</w:t>
      </w:r>
    </w:p>
  </w:footnote>
  <w:footnote w:id="5">
    <w:p w:rsidR="00F55003" w:rsidRDefault="00F55003" w:rsidP="00265FED">
      <w:pPr>
        <w:pStyle w:val="Footnote"/>
      </w:pPr>
      <w:r>
        <w:rPr>
          <w:rStyle w:val="FootnoteReference"/>
        </w:rPr>
        <w:footnoteRef/>
      </w:r>
      <w:r>
        <w:t xml:space="preserve"> The rates were </w:t>
      </w:r>
      <w:r w:rsidRPr="00265FED">
        <w:t>calculated</w:t>
      </w:r>
      <w:r>
        <w:t xml:space="preserve"> based on E20 and AG5B hourly customer loads in 2011.  These rates are not official, but indicative of a counterfactual flat rate.  PG&amp;E typically develops rates based on the load research sample and three years of data.  We used a different time frame and sample. </w:t>
      </w:r>
    </w:p>
  </w:footnote>
  <w:footnote w:id="6">
    <w:p w:rsidR="00F55003" w:rsidRPr="00E43408" w:rsidRDefault="00F55003" w:rsidP="00265FED">
      <w:pPr>
        <w:pStyle w:val="Footnote"/>
      </w:pPr>
      <w:r w:rsidRPr="00E43408">
        <w:rPr>
          <w:rStyle w:val="FootnoteReference"/>
        </w:rPr>
        <w:footnoteRef/>
      </w:r>
      <w:r w:rsidRPr="00E43408">
        <w:t xml:space="preserve"> The </w:t>
      </w:r>
      <w:r>
        <w:t>classification of</w:t>
      </w:r>
      <w:r w:rsidRPr="00E43408">
        <w:t xml:space="preserve"> C&amp;I customers </w:t>
      </w:r>
      <w:r>
        <w:t xml:space="preserve">as medium or large </w:t>
      </w:r>
      <w:r w:rsidRPr="00E43408">
        <w:t>differ</w:t>
      </w:r>
      <w:r>
        <w:t xml:space="preserve">s across </w:t>
      </w:r>
      <w:r w:rsidRPr="00E43408">
        <w:t>organizations</w:t>
      </w:r>
      <w:r>
        <w:t xml:space="preserve"> and time, with some utilities basing the definition on annual consumption and others on maximum demand.</w:t>
      </w:r>
      <w:r w:rsidRPr="00E43408">
        <w:t xml:space="preserve">  The SMB customers </w:t>
      </w:r>
      <w:r>
        <w:t xml:space="preserve">who will migrate to TOU at PG&amp;E have a maximum demand of less than 200 kW.  </w:t>
      </w:r>
    </w:p>
  </w:footnote>
  <w:footnote w:id="7">
    <w:p w:rsidR="00F55003" w:rsidRDefault="00F55003" w:rsidP="007419BF">
      <w:pPr>
        <w:pStyle w:val="Footnote"/>
      </w:pPr>
      <w:r>
        <w:rPr>
          <w:rStyle w:val="FootnoteReference"/>
        </w:rPr>
        <w:footnoteRef/>
      </w:r>
      <w:r>
        <w:t xml:space="preserve"> The authors did not assess if the direction, magnitude and significance of the placebo effect varied as a function of the threshold at which it was introduced. </w:t>
      </w:r>
    </w:p>
  </w:footnote>
  <w:footnote w:id="8">
    <w:p w:rsidR="00F55003" w:rsidRDefault="00F55003" w:rsidP="007419BF">
      <w:pPr>
        <w:pStyle w:val="Footnote"/>
      </w:pPr>
      <w:r>
        <w:rPr>
          <w:rStyle w:val="FootnoteReference"/>
        </w:rPr>
        <w:footnoteRef/>
      </w:r>
      <w:r>
        <w:t xml:space="preserve"> Customers above 1 MW must be enrolled on rate E-20.  Those between 500 kW and 1 MW must be enrolled on E19.  Customers between 200 kW and 500 kW can choose between two different TOU rates, A10X and E19V, with approximately half choosing the stronger E19 rate.  However, all large customers can elect to receive their electricity supply from a provider other than PG&amp;E, an option known as Direct Access (DA).  While PG&amp;E still supplies T&amp;D services, the third party suppliers set the prices for the electricity commodity and they may or may not vary by time of day.</w:t>
      </w:r>
    </w:p>
  </w:footnote>
  <w:footnote w:id="9">
    <w:p w:rsidR="00F55003" w:rsidRDefault="00F55003" w:rsidP="00D1175B">
      <w:pPr>
        <w:pStyle w:val="FootnoteText"/>
      </w:pPr>
      <w:r>
        <w:rPr>
          <w:rStyle w:val="FootnoteReference"/>
        </w:rPr>
        <w:footnoteRef/>
      </w:r>
      <w:r>
        <w:t xml:space="preserve"> "</w:t>
      </w:r>
      <w:r w:rsidRPr="00C75BF6">
        <w:rPr>
          <w:rFonts w:cs="Times New Roman"/>
          <w:szCs w:val="18"/>
        </w:rPr>
        <w:t>2011 Ex Ante Load Impacts for PG&amp;E’s Non-residential TOU Rates.</w:t>
      </w:r>
      <w:r>
        <w:rPr>
          <w:rFonts w:cs="Times New Roman"/>
          <w:szCs w:val="18"/>
        </w:rPr>
        <w:t>"</w:t>
      </w:r>
      <w:r w:rsidRPr="00E66A96">
        <w:rPr>
          <w:rFonts w:cs="Times New Roman"/>
          <w:i/>
          <w:szCs w:val="18"/>
        </w:rPr>
        <w:t xml:space="preserve">  </w:t>
      </w:r>
      <w:r w:rsidRPr="00E66A96">
        <w:rPr>
          <w:rFonts w:cs="Times New Roman"/>
          <w:szCs w:val="18"/>
        </w:rPr>
        <w:t xml:space="preserve">June 11, 2012.  (with Stephen George, Josh Bode, Sam Holmberg and Peter </w:t>
      </w:r>
      <w:proofErr w:type="spellStart"/>
      <w:r w:rsidRPr="00E66A96">
        <w:rPr>
          <w:rFonts w:cs="Times New Roman"/>
          <w:szCs w:val="18"/>
        </w:rPr>
        <w:t>Malaspina</w:t>
      </w:r>
      <w:proofErr w:type="spellEnd"/>
      <w:r w:rsidRPr="00E66A96">
        <w:rPr>
          <w:rFonts w:cs="Times New Roman"/>
          <w:szCs w:val="18"/>
        </w:rPr>
        <w:t>)</w:t>
      </w:r>
    </w:p>
  </w:footnote>
  <w:footnote w:id="10">
    <w:p w:rsidR="00F55003" w:rsidRDefault="00F55003">
      <w:pPr>
        <w:pStyle w:val="FootnoteText"/>
      </w:pPr>
      <w:r>
        <w:rPr>
          <w:rStyle w:val="FootnoteReference"/>
        </w:rPr>
        <w:footnoteRef/>
      </w:r>
      <w:r>
        <w:rPr>
          <w:rFonts w:cs="Times New Roman"/>
          <w:i/>
          <w:szCs w:val="18"/>
        </w:rPr>
        <w:t xml:space="preserve"> </w:t>
      </w:r>
      <w:r w:rsidRPr="00E66A96">
        <w:rPr>
          <w:rFonts w:cs="Times New Roman"/>
          <w:i/>
          <w:szCs w:val="18"/>
        </w:rPr>
        <w:t xml:space="preserve">2011 Ex Ante Load Impacts for PG&amp;E’s Non-residential TOU Rates.  </w:t>
      </w:r>
      <w:r w:rsidRPr="00E66A96">
        <w:rPr>
          <w:rFonts w:cs="Times New Roman"/>
          <w:szCs w:val="18"/>
        </w:rPr>
        <w:t xml:space="preserve">June 11, 2012.  (with Stephen George, Josh Bode, Sam Holmberg and Peter </w:t>
      </w:r>
      <w:proofErr w:type="spellStart"/>
      <w:r w:rsidRPr="00E66A96">
        <w:rPr>
          <w:rFonts w:cs="Times New Roman"/>
          <w:szCs w:val="18"/>
        </w:rPr>
        <w:t>Malaspina</w:t>
      </w:r>
      <w:proofErr w:type="spellEnd"/>
      <w:r w:rsidRPr="00E66A96">
        <w:rPr>
          <w:rFonts w:cs="Times New Roman"/>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pPr>
      <w:pStyle w:val="Header"/>
    </w:pPr>
    <w:r>
      <w:rPr>
        <w:noProof/>
      </w:rPr>
      <mc:AlternateContent>
        <mc:Choice Requires="wps">
          <w:drawing>
            <wp:inline distT="0" distB="0" distL="0" distR="0" wp14:anchorId="31A68389" wp14:editId="5C10F10A">
              <wp:extent cx="6017895" cy="0"/>
              <wp:effectExtent l="0" t="0" r="20955" b="19050"/>
              <wp:docPr id="1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6"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GrgK8c4AgAAdgQAAA4AAAAAAAAAAAAAAAAALgIA&#10;AGRycy9lMm9Eb2MueG1sUEsBAi0AFAAGAAgAAAAhAISJXbfWAAAAAgEAAA8AAAAAAAAAAAAAAAAA&#10;kgQAAGRycy9kb3ducmV2LnhtbFBLBQYAAAAABAAEAPMAAACVBQAAAAA=&#10;" strokecolor="#5f497a [2407]">
              <w10:anchorlock/>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F55003" w:rsidP="00DB35F9">
    <w:pPr>
      <w:pStyle w:val="Header"/>
      <w:tabs>
        <w:tab w:val="left" w:pos="360"/>
        <w:tab w:val="left" w:pos="8910"/>
        <w:tab w:val="left" w:pos="9000"/>
      </w:tabs>
    </w:pPr>
    <w:r w:rsidRPr="00EB2941">
      <w:rPr>
        <w:noProof/>
      </w:rPr>
      <w:drawing>
        <wp:inline distT="0" distB="0" distL="0" distR="0" wp14:anchorId="10FBF769" wp14:editId="2D4F2467">
          <wp:extent cx="4274185" cy="690880"/>
          <wp:effectExtent l="19050" t="0" r="0" b="0"/>
          <wp:docPr id="8"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1" cstate="print"/>
                  <a:srcRect t="21506"/>
                  <a:stretch>
                    <a:fillRect/>
                  </a:stretch>
                </pic:blipFill>
                <pic:spPr bwMode="auto">
                  <a:xfrm>
                    <a:off x="0" y="0"/>
                    <a:ext cx="4274185" cy="69088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rsidP="00DB35F9">
    <w:pPr>
      <w:pStyle w:val="Header"/>
      <w:tabs>
        <w:tab w:val="left" w:pos="360"/>
        <w:tab w:val="left" w:pos="8910"/>
        <w:tab w:val="left" w:pos="9000"/>
      </w:tabs>
    </w:pPr>
    <w:r>
      <w:rPr>
        <w:noProof/>
      </w:rPr>
      <mc:AlternateContent>
        <mc:Choice Requires="wps">
          <w:drawing>
            <wp:inline distT="0" distB="0" distL="0" distR="0" wp14:anchorId="155447E1" wp14:editId="5D563FE1">
              <wp:extent cx="6017895" cy="0"/>
              <wp:effectExtent l="0" t="0" r="20955" b="19050"/>
              <wp:docPr id="1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5"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JYdW/g4AgAAdgQAAA4AAAAAAAAAAAAAAAAALgIA&#10;AGRycy9lMm9Eb2MueG1sUEsBAi0AFAAGAAgAAAAhAISJXbfWAAAAAgEAAA8AAAAAAAAAAAAAAAAA&#10;kgQAAGRycy9kb3ducmV2LnhtbFBLBQYAAAAABAAEAPMAAACVBQAAAAA=&#10;" strokecolor="#5f497a [2407]">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F55003" w:rsidP="00B50663">
    <w:pPr>
      <w:pStyle w:val="Header"/>
      <w:jc w:val="center"/>
    </w:pPr>
    <w:r w:rsidRPr="00E92F4E">
      <w:rPr>
        <w:noProof/>
      </w:rPr>
      <w:drawing>
        <wp:inline distT="0" distB="0" distL="0" distR="0" wp14:anchorId="2E71A944" wp14:editId="59776773">
          <wp:extent cx="2243455" cy="999490"/>
          <wp:effectExtent l="19050" t="0" r="444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243455" cy="999490"/>
                  </a:xfrm>
                  <a:prstGeom prst="rect">
                    <a:avLst/>
                  </a:prstGeom>
                  <a:noFill/>
                  <a:ln w="9525">
                    <a:noFill/>
                    <a:miter lim="800000"/>
                    <a:headEnd/>
                    <a:tailEnd/>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rsidP="00DB35F9">
    <w:pPr>
      <w:pStyle w:val="Header"/>
      <w:tabs>
        <w:tab w:val="left" w:pos="360"/>
        <w:tab w:val="left" w:pos="8910"/>
        <w:tab w:val="left" w:pos="9000"/>
      </w:tabs>
    </w:pPr>
    <w:r>
      <w:rPr>
        <w:noProof/>
      </w:rPr>
      <mc:AlternateContent>
        <mc:Choice Requires="wps">
          <w:drawing>
            <wp:inline distT="0" distB="0" distL="0" distR="0" wp14:anchorId="54C88722" wp14:editId="2BF513D2">
              <wp:extent cx="8239125" cy="0"/>
              <wp:effectExtent l="0" t="0" r="9525" b="19050"/>
              <wp:docPr id="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3912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4" o:spid="_x0000_s1026" type="#_x0000_t32" style="width:648.7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" strokecolor="#5f497a [2407]">
              <w10:anchorlock/>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rsidP="00DB35F9">
    <w:pPr>
      <w:pStyle w:val="Header"/>
      <w:tabs>
        <w:tab w:val="left" w:pos="360"/>
        <w:tab w:val="left" w:pos="8910"/>
        <w:tab w:val="left" w:pos="9000"/>
      </w:tabs>
    </w:pPr>
    <w:r>
      <w:rPr>
        <w:noProof/>
      </w:rPr>
      <mc:AlternateContent>
        <mc:Choice Requires="wps">
          <w:drawing>
            <wp:inline distT="0" distB="0" distL="0" distR="0" wp14:anchorId="74062B6A" wp14:editId="2BBC7054">
              <wp:extent cx="6017895" cy="0"/>
              <wp:effectExtent l="0" t="0" r="20955" b="19050"/>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3"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" strokecolor="#5f497a [2407]">
              <w10:anchorlock/>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rsidP="00DB35F9">
    <w:pPr>
      <w:pStyle w:val="Header"/>
      <w:tabs>
        <w:tab w:val="left" w:pos="360"/>
        <w:tab w:val="left" w:pos="8910"/>
        <w:tab w:val="left" w:pos="9000"/>
      </w:tabs>
    </w:pPr>
    <w:r>
      <w:rPr>
        <w:noProof/>
      </w:rPr>
      <mc:AlternateContent>
        <mc:Choice Requires="wps">
          <w:drawing>
            <wp:inline distT="0" distB="0" distL="0" distR="0" wp14:anchorId="772E12DD" wp14:editId="3D96AC02">
              <wp:extent cx="8293100" cy="0"/>
              <wp:effectExtent l="0" t="0" r="12700" b="19050"/>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93100"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2" o:spid="_x0000_s1026" type="#_x0000_t32" style="width:653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" strokecolor="#5f497a [2407]">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03" w:rsidRDefault="002D663A" w:rsidP="00DB35F9">
    <w:pPr>
      <w:pStyle w:val="Header"/>
      <w:tabs>
        <w:tab w:val="left" w:pos="360"/>
        <w:tab w:val="left" w:pos="8910"/>
        <w:tab w:val="left" w:pos="9000"/>
      </w:tabs>
    </w:pPr>
    <w:r>
      <w:rPr>
        <w:noProof/>
      </w:rPr>
      <mc:AlternateContent>
        <mc:Choice Requires="wps">
          <w:drawing>
            <wp:inline distT="0" distB="0" distL="0" distR="0">
              <wp:extent cx="6017895" cy="0"/>
              <wp:effectExtent l="0" t="0" r="20955" b="19050"/>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F+62zg4AgAAdQQAAA4AAAAAAAAAAAAAAAAALgIA&#10;AGRycy9lMm9Eb2MueG1sUEsBAi0AFAAGAAgAAAAhAISJXbfWAAAAAgEAAA8AAAAAAAAAAAAAAAAA&#10;kgQAAGRycy9kb3ducmV2LnhtbFBLBQYAAAAABAAEAPMAAACVBQAAAAA=&#10;" strokecolor="#5f497a [2407]">
              <w10:anchorlock/>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F5674"/>
    <w:multiLevelType w:val="hybridMultilevel"/>
    <w:tmpl w:val="652A9A1E"/>
    <w:lvl w:ilvl="0" w:tplc="F5241B0E">
      <w:start w:val="6"/>
      <w:numFmt w:val="decimal"/>
      <w:pStyle w:val="NumbersLa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6A593E"/>
    <w:multiLevelType w:val="hybridMultilevel"/>
    <w:tmpl w:val="BF0CB3C6"/>
    <w:lvl w:ilvl="0" w:tplc="4A6091AE">
      <w:start w:val="1"/>
      <w:numFmt w:val="bullet"/>
      <w:pStyle w:val="Bullets"/>
      <w:lvlText w:val=""/>
      <w:lvlJc w:val="left"/>
      <w:pPr>
        <w:tabs>
          <w:tab w:val="num" w:pos="720"/>
        </w:tabs>
        <w:ind w:left="720" w:hanging="360"/>
      </w:pPr>
      <w:rPr>
        <w:rFonts w:ascii="Wingdings" w:hAnsi="Wingding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A7561E2"/>
    <w:multiLevelType w:val="hybridMultilevel"/>
    <w:tmpl w:val="6F6C1304"/>
    <w:lvl w:ilvl="0" w:tplc="FB1E35EA">
      <w:start w:val="1"/>
      <w:numFmt w:val="decimal"/>
      <w:pStyle w:val="Number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0E263D"/>
    <w:multiLevelType w:val="multilevel"/>
    <w:tmpl w:val="E6A26B6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27466AB5"/>
    <w:multiLevelType w:val="multilevel"/>
    <w:tmpl w:val="6B2CD62E"/>
    <w:styleLink w:val="NumberedSteps"/>
    <w:lvl w:ilvl="0">
      <w:start w:val="1"/>
      <w:numFmt w:val="decimal"/>
      <w:lvlText w:val="%1"/>
      <w:lvlJc w:val="left"/>
      <w:pPr>
        <w:tabs>
          <w:tab w:val="num" w:pos="720"/>
        </w:tabs>
        <w:ind w:left="720" w:hanging="360"/>
      </w:pPr>
      <w:rPr>
        <w:rFonts w:ascii="Arial" w:hAnsi="Arial"/>
        <w:dstrike w:val="0"/>
        <w:color w:val="auto"/>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4A207F37"/>
    <w:multiLevelType w:val="hybridMultilevel"/>
    <w:tmpl w:val="6068DF32"/>
    <w:lvl w:ilvl="0" w:tplc="0409000F">
      <w:start w:val="1"/>
      <w:numFmt w:val="decimal"/>
      <w:lvlText w:val="%1."/>
      <w:lvlJc w:val="left"/>
      <w:pPr>
        <w:tabs>
          <w:tab w:val="num" w:pos="720"/>
        </w:tabs>
        <w:ind w:left="720" w:hanging="360"/>
      </w:pPr>
      <w:rPr>
        <w:rFont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64497E68"/>
    <w:multiLevelType w:val="multilevel"/>
    <w:tmpl w:val="31BA2902"/>
    <w:lvl w:ilvl="0">
      <w:start w:val="1"/>
      <w:numFmt w:val="upperLetter"/>
      <w:pStyle w:val="AppendixHeading"/>
      <w:lvlText w:val="Appendix %1"/>
      <w:lvlJc w:val="left"/>
      <w:pPr>
        <w:ind w:left="360" w:hanging="360"/>
      </w:pPr>
      <w:rPr>
        <w:rFonts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1">
      <w:start w:val="1"/>
      <w:numFmt w:val="decimal"/>
      <w:pStyle w:val="AppendixHeading2"/>
      <w:lvlText w:val="%1.%2"/>
      <w:lvlJc w:val="left"/>
      <w:pPr>
        <w:ind w:left="882" w:hanging="432"/>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2">
      <w:start w:val="1"/>
      <w:numFmt w:val="decimal"/>
      <w:pStyle w:val="AppendixHeading3"/>
      <w:lvlText w:val="%1.%2.%3"/>
      <w:lvlJc w:val="left"/>
      <w:pPr>
        <w:ind w:left="1494" w:hanging="504"/>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 w:val="26"/>
        <w:szCs w:val="26"/>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6D0F2EE8"/>
    <w:multiLevelType w:val="multilevel"/>
    <w:tmpl w:val="9F68006A"/>
    <w:styleLink w:val="Numbered"/>
    <w:lvl w:ilvl="0">
      <w:start w:val="1"/>
      <w:numFmt w:val="decimal"/>
      <w:lvlText w:val="%1"/>
      <w:lvlJc w:val="left"/>
      <w:pPr>
        <w:tabs>
          <w:tab w:val="num" w:pos="720"/>
        </w:tabs>
        <w:ind w:left="720" w:hanging="360"/>
      </w:pPr>
      <w:rPr>
        <w:rFonts w:ascii="Arial" w:hAnsi="Arial"/>
        <w:dstrike w:val="0"/>
        <w:color w:val="000000" w:themeColor="text1"/>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6"/>
  </w:num>
  <w:num w:numId="3">
    <w:abstractNumId w:val="3"/>
  </w:num>
  <w:num w:numId="4">
    <w:abstractNumId w:val="7"/>
  </w:num>
  <w:num w:numId="5">
    <w:abstractNumId w:val="4"/>
  </w:num>
  <w:num w:numId="6">
    <w:abstractNumId w:val="2"/>
  </w:num>
  <w:num w:numId="7">
    <w:abstractNumId w:val="0"/>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defaultTabStop w:val="720"/>
  <w:drawingGridHorizontalSpacing w:val="110"/>
  <w:displayHorizontalDrawingGridEvery w:val="2"/>
  <w:characterSpacingControl w:val="doNotCompress"/>
  <w:hdrShapeDefaults>
    <o:shapedefaults v:ext="edit" spidmax="8193" fillcolor="none [3207]" strokecolor="none [3041]">
      <v:fill color="none [3207]"/>
      <v:stroke color="none [3041]" weight="3pt"/>
      <v:shadow on="t" type="perspective" color="none [1607]" opacity=".5" offset="1pt" offset2="-1pt"/>
      <o:colormenu v:ext="edit" strokecolor="none"/>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9BF"/>
    <w:rsid w:val="00012766"/>
    <w:rsid w:val="00014A86"/>
    <w:rsid w:val="00020BC6"/>
    <w:rsid w:val="00033579"/>
    <w:rsid w:val="00043B2D"/>
    <w:rsid w:val="00046379"/>
    <w:rsid w:val="00054F8F"/>
    <w:rsid w:val="0005598B"/>
    <w:rsid w:val="0006172C"/>
    <w:rsid w:val="000C5046"/>
    <w:rsid w:val="00102D7F"/>
    <w:rsid w:val="00107177"/>
    <w:rsid w:val="001277CC"/>
    <w:rsid w:val="00134D4B"/>
    <w:rsid w:val="00137F86"/>
    <w:rsid w:val="00142ACF"/>
    <w:rsid w:val="00157BFA"/>
    <w:rsid w:val="00163508"/>
    <w:rsid w:val="00182842"/>
    <w:rsid w:val="00192CF8"/>
    <w:rsid w:val="001A71A9"/>
    <w:rsid w:val="001B0ACB"/>
    <w:rsid w:val="001B352B"/>
    <w:rsid w:val="001B43DF"/>
    <w:rsid w:val="001C1F7B"/>
    <w:rsid w:val="001E35A3"/>
    <w:rsid w:val="001E4F10"/>
    <w:rsid w:val="001E7B77"/>
    <w:rsid w:val="001F618E"/>
    <w:rsid w:val="002077EA"/>
    <w:rsid w:val="00207C71"/>
    <w:rsid w:val="00213694"/>
    <w:rsid w:val="00227E21"/>
    <w:rsid w:val="00231DFD"/>
    <w:rsid w:val="002436C1"/>
    <w:rsid w:val="00247624"/>
    <w:rsid w:val="00252FAF"/>
    <w:rsid w:val="00265FED"/>
    <w:rsid w:val="00272C6A"/>
    <w:rsid w:val="002842C9"/>
    <w:rsid w:val="0028548F"/>
    <w:rsid w:val="002A6B02"/>
    <w:rsid w:val="002B2311"/>
    <w:rsid w:val="002B3145"/>
    <w:rsid w:val="002C5BF9"/>
    <w:rsid w:val="002D663A"/>
    <w:rsid w:val="00305437"/>
    <w:rsid w:val="003076DE"/>
    <w:rsid w:val="00313B12"/>
    <w:rsid w:val="00334712"/>
    <w:rsid w:val="00344C3B"/>
    <w:rsid w:val="0036226B"/>
    <w:rsid w:val="00365361"/>
    <w:rsid w:val="00385706"/>
    <w:rsid w:val="00390D55"/>
    <w:rsid w:val="00391614"/>
    <w:rsid w:val="00393B5B"/>
    <w:rsid w:val="003A0F85"/>
    <w:rsid w:val="003A4BA1"/>
    <w:rsid w:val="003D68A0"/>
    <w:rsid w:val="003E43D8"/>
    <w:rsid w:val="003F6A1F"/>
    <w:rsid w:val="00407351"/>
    <w:rsid w:val="00412B1E"/>
    <w:rsid w:val="00423629"/>
    <w:rsid w:val="00427316"/>
    <w:rsid w:val="00436018"/>
    <w:rsid w:val="0046277A"/>
    <w:rsid w:val="004A2935"/>
    <w:rsid w:val="004E5D3E"/>
    <w:rsid w:val="00504474"/>
    <w:rsid w:val="00533ECF"/>
    <w:rsid w:val="00565A04"/>
    <w:rsid w:val="00577956"/>
    <w:rsid w:val="005B5E77"/>
    <w:rsid w:val="005D003F"/>
    <w:rsid w:val="005E18C3"/>
    <w:rsid w:val="005E1A52"/>
    <w:rsid w:val="006331D6"/>
    <w:rsid w:val="00643798"/>
    <w:rsid w:val="006455A7"/>
    <w:rsid w:val="006717E3"/>
    <w:rsid w:val="00680A25"/>
    <w:rsid w:val="00685B44"/>
    <w:rsid w:val="006947D9"/>
    <w:rsid w:val="006957C5"/>
    <w:rsid w:val="006A3750"/>
    <w:rsid w:val="006A61DE"/>
    <w:rsid w:val="006B0705"/>
    <w:rsid w:val="006E094F"/>
    <w:rsid w:val="00702A03"/>
    <w:rsid w:val="0071105E"/>
    <w:rsid w:val="00717FCF"/>
    <w:rsid w:val="00721E89"/>
    <w:rsid w:val="007336EB"/>
    <w:rsid w:val="007419BF"/>
    <w:rsid w:val="00752687"/>
    <w:rsid w:val="00757FE6"/>
    <w:rsid w:val="007606E1"/>
    <w:rsid w:val="007715BA"/>
    <w:rsid w:val="007716AB"/>
    <w:rsid w:val="007C29F6"/>
    <w:rsid w:val="007F078B"/>
    <w:rsid w:val="00824815"/>
    <w:rsid w:val="00832B87"/>
    <w:rsid w:val="0084569F"/>
    <w:rsid w:val="00850D16"/>
    <w:rsid w:val="00852826"/>
    <w:rsid w:val="0086197B"/>
    <w:rsid w:val="00872170"/>
    <w:rsid w:val="00875B70"/>
    <w:rsid w:val="00891B6B"/>
    <w:rsid w:val="0089740A"/>
    <w:rsid w:val="008A3FBD"/>
    <w:rsid w:val="008A4CE1"/>
    <w:rsid w:val="008C2D62"/>
    <w:rsid w:val="008E6E4B"/>
    <w:rsid w:val="009063B1"/>
    <w:rsid w:val="009338ED"/>
    <w:rsid w:val="0094682C"/>
    <w:rsid w:val="009574A5"/>
    <w:rsid w:val="009B1FE8"/>
    <w:rsid w:val="009C0139"/>
    <w:rsid w:val="009E21D7"/>
    <w:rsid w:val="009E3F2C"/>
    <w:rsid w:val="009F5D50"/>
    <w:rsid w:val="00A07E29"/>
    <w:rsid w:val="00A2056A"/>
    <w:rsid w:val="00A24367"/>
    <w:rsid w:val="00A3294A"/>
    <w:rsid w:val="00A40B9A"/>
    <w:rsid w:val="00A6555F"/>
    <w:rsid w:val="00A73D0A"/>
    <w:rsid w:val="00A8324D"/>
    <w:rsid w:val="00A86D55"/>
    <w:rsid w:val="00AA47E8"/>
    <w:rsid w:val="00AB380F"/>
    <w:rsid w:val="00AC3023"/>
    <w:rsid w:val="00AD3AE8"/>
    <w:rsid w:val="00AE29F6"/>
    <w:rsid w:val="00AE636A"/>
    <w:rsid w:val="00AF7EE8"/>
    <w:rsid w:val="00B07122"/>
    <w:rsid w:val="00B07EFB"/>
    <w:rsid w:val="00B07F5F"/>
    <w:rsid w:val="00B34237"/>
    <w:rsid w:val="00B50663"/>
    <w:rsid w:val="00B650EF"/>
    <w:rsid w:val="00B65C4E"/>
    <w:rsid w:val="00B70528"/>
    <w:rsid w:val="00B86C76"/>
    <w:rsid w:val="00B93791"/>
    <w:rsid w:val="00BA323B"/>
    <w:rsid w:val="00BA3459"/>
    <w:rsid w:val="00BB47FE"/>
    <w:rsid w:val="00BC02C6"/>
    <w:rsid w:val="00BC7E9F"/>
    <w:rsid w:val="00BD382F"/>
    <w:rsid w:val="00BD5EDE"/>
    <w:rsid w:val="00BD6DA7"/>
    <w:rsid w:val="00C003A1"/>
    <w:rsid w:val="00C053C2"/>
    <w:rsid w:val="00C2287B"/>
    <w:rsid w:val="00C2564C"/>
    <w:rsid w:val="00C33F08"/>
    <w:rsid w:val="00C623D7"/>
    <w:rsid w:val="00C66141"/>
    <w:rsid w:val="00C75BF6"/>
    <w:rsid w:val="00C81F2C"/>
    <w:rsid w:val="00C86310"/>
    <w:rsid w:val="00C92EB8"/>
    <w:rsid w:val="00CA0D6E"/>
    <w:rsid w:val="00CA1BF4"/>
    <w:rsid w:val="00CA7949"/>
    <w:rsid w:val="00CB7510"/>
    <w:rsid w:val="00CD7AB5"/>
    <w:rsid w:val="00CF7B44"/>
    <w:rsid w:val="00D04113"/>
    <w:rsid w:val="00D04A27"/>
    <w:rsid w:val="00D1175B"/>
    <w:rsid w:val="00D3329E"/>
    <w:rsid w:val="00D34A05"/>
    <w:rsid w:val="00D34C82"/>
    <w:rsid w:val="00D56C2A"/>
    <w:rsid w:val="00D773A3"/>
    <w:rsid w:val="00D804D9"/>
    <w:rsid w:val="00D80E42"/>
    <w:rsid w:val="00DB35F9"/>
    <w:rsid w:val="00DC0EF5"/>
    <w:rsid w:val="00DD79FE"/>
    <w:rsid w:val="00DF1A08"/>
    <w:rsid w:val="00E027F1"/>
    <w:rsid w:val="00E61AB1"/>
    <w:rsid w:val="00E66A96"/>
    <w:rsid w:val="00E9273B"/>
    <w:rsid w:val="00EB2941"/>
    <w:rsid w:val="00ED61A8"/>
    <w:rsid w:val="00EE5649"/>
    <w:rsid w:val="00EF12DF"/>
    <w:rsid w:val="00F0623D"/>
    <w:rsid w:val="00F105AD"/>
    <w:rsid w:val="00F155D1"/>
    <w:rsid w:val="00F179F1"/>
    <w:rsid w:val="00F24446"/>
    <w:rsid w:val="00F25968"/>
    <w:rsid w:val="00F46241"/>
    <w:rsid w:val="00F50A5A"/>
    <w:rsid w:val="00F535B2"/>
    <w:rsid w:val="00F55003"/>
    <w:rsid w:val="00F74016"/>
    <w:rsid w:val="00F774AD"/>
    <w:rsid w:val="00F926F0"/>
    <w:rsid w:val="00F92E49"/>
    <w:rsid w:val="00FC0F66"/>
    <w:rsid w:val="00FD51F4"/>
    <w:rsid w:val="00FE1D3E"/>
    <w:rsid w:val="00FF17AC"/>
    <w:rsid w:val="00FF51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fillcolor="none [3207]" strokecolor="none [3041]">
      <v:fill color="none [3207]"/>
      <v:stroke color="none [3041]" weight="3pt"/>
      <v:shadow on="t" type="perspective" color="none [1607]" opacity=".5" offset="1pt" offset2="-1pt"/>
      <o:colormenu v:ext="edit"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next w:val="BodyParagraph"/>
    <w:link w:val="Heading1Char"/>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iPriority w:val="9"/>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9338ED"/>
    <w:pPr>
      <w:tabs>
        <w:tab w:val="left" w:pos="270"/>
        <w:tab w:val="left" w:pos="126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uiPriority w:val="9"/>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uiPriority w:val="9"/>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hAnsi="Verdana" w:cs="Arial"/>
      <w:noProof/>
      <w:sz w:val="18"/>
      <w:szCs w:val="24"/>
    </w:rPr>
  </w:style>
  <w:style w:type="paragraph" w:customStyle="1" w:styleId="BodyParagraph">
    <w:name w:val="Body Paragraph"/>
    <w:link w:val="BodyParagraphChar"/>
    <w:uiPriority w:val="99"/>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uiPriority w:val="99"/>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265FED"/>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uiPriority w:val="99"/>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uiPriority w:val="99"/>
    <w:rsid w:val="00265FED"/>
    <w:rPr>
      <w:rFonts w:ascii="Verdana" w:hAnsi="Verdana"/>
      <w:sz w:val="18"/>
    </w:rPr>
  </w:style>
  <w:style w:type="character" w:styleId="CommentReference">
    <w:name w:val="annotation reference"/>
    <w:basedOn w:val="DefaultParagraphFont"/>
    <w:uiPriority w:val="99"/>
    <w:semiHidden/>
    <w:unhideWhenUsed/>
    <w:rsid w:val="00265FED"/>
    <w:rPr>
      <w:sz w:val="16"/>
      <w:szCs w:val="16"/>
    </w:rPr>
  </w:style>
  <w:style w:type="paragraph" w:styleId="CommentText">
    <w:name w:val="annotation text"/>
    <w:basedOn w:val="Normal"/>
    <w:link w:val="CommentTextChar"/>
    <w:uiPriority w:val="99"/>
    <w:semiHidden/>
    <w:unhideWhenUsed/>
    <w:rsid w:val="00265FED"/>
    <w:pPr>
      <w:spacing w:line="240" w:lineRule="auto"/>
    </w:pPr>
    <w:rPr>
      <w:sz w:val="20"/>
      <w:szCs w:val="20"/>
    </w:rPr>
  </w:style>
  <w:style w:type="character" w:customStyle="1" w:styleId="CommentTextChar">
    <w:name w:val="Comment Text Char"/>
    <w:basedOn w:val="DefaultParagraphFont"/>
    <w:link w:val="CommentText"/>
    <w:uiPriority w:val="99"/>
    <w:semiHidden/>
    <w:rsid w:val="00265FE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265FED"/>
    <w:rPr>
      <w:b/>
      <w:bCs/>
    </w:rPr>
  </w:style>
  <w:style w:type="character" w:customStyle="1" w:styleId="CommentSubjectChar">
    <w:name w:val="Comment Subject Char"/>
    <w:basedOn w:val="CommentTextChar"/>
    <w:link w:val="CommentSubject"/>
    <w:uiPriority w:val="99"/>
    <w:semiHidden/>
    <w:rsid w:val="00265FED"/>
    <w:rPr>
      <w:rFonts w:eastAsiaTheme="minorEastAsia"/>
      <w:b/>
      <w:bCs/>
      <w:sz w:val="20"/>
      <w:szCs w:val="20"/>
    </w:rPr>
  </w:style>
  <w:style w:type="paragraph" w:styleId="Revision">
    <w:name w:val="Revision"/>
    <w:hidden/>
    <w:uiPriority w:val="99"/>
    <w:semiHidden/>
    <w:rsid w:val="00265FE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next w:val="BodyParagraph"/>
    <w:link w:val="Heading1Char"/>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iPriority w:val="9"/>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9338ED"/>
    <w:pPr>
      <w:tabs>
        <w:tab w:val="left" w:pos="270"/>
        <w:tab w:val="left" w:pos="126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uiPriority w:val="9"/>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uiPriority w:val="9"/>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hAnsi="Verdana" w:cs="Arial"/>
      <w:noProof/>
      <w:sz w:val="18"/>
      <w:szCs w:val="24"/>
    </w:rPr>
  </w:style>
  <w:style w:type="paragraph" w:customStyle="1" w:styleId="BodyParagraph">
    <w:name w:val="Body Paragraph"/>
    <w:link w:val="BodyParagraphChar"/>
    <w:uiPriority w:val="99"/>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uiPriority w:val="99"/>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265FED"/>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uiPriority w:val="99"/>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uiPriority w:val="99"/>
    <w:rsid w:val="00265FED"/>
    <w:rPr>
      <w:rFonts w:ascii="Verdana" w:hAnsi="Verdana"/>
      <w:sz w:val="18"/>
    </w:rPr>
  </w:style>
  <w:style w:type="character" w:styleId="CommentReference">
    <w:name w:val="annotation reference"/>
    <w:basedOn w:val="DefaultParagraphFont"/>
    <w:uiPriority w:val="99"/>
    <w:semiHidden/>
    <w:unhideWhenUsed/>
    <w:rsid w:val="00265FED"/>
    <w:rPr>
      <w:sz w:val="16"/>
      <w:szCs w:val="16"/>
    </w:rPr>
  </w:style>
  <w:style w:type="paragraph" w:styleId="CommentText">
    <w:name w:val="annotation text"/>
    <w:basedOn w:val="Normal"/>
    <w:link w:val="CommentTextChar"/>
    <w:uiPriority w:val="99"/>
    <w:semiHidden/>
    <w:unhideWhenUsed/>
    <w:rsid w:val="00265FED"/>
    <w:pPr>
      <w:spacing w:line="240" w:lineRule="auto"/>
    </w:pPr>
    <w:rPr>
      <w:sz w:val="20"/>
      <w:szCs w:val="20"/>
    </w:rPr>
  </w:style>
  <w:style w:type="character" w:customStyle="1" w:styleId="CommentTextChar">
    <w:name w:val="Comment Text Char"/>
    <w:basedOn w:val="DefaultParagraphFont"/>
    <w:link w:val="CommentText"/>
    <w:uiPriority w:val="99"/>
    <w:semiHidden/>
    <w:rsid w:val="00265FE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265FED"/>
    <w:rPr>
      <w:b/>
      <w:bCs/>
    </w:rPr>
  </w:style>
  <w:style w:type="character" w:customStyle="1" w:styleId="CommentSubjectChar">
    <w:name w:val="Comment Subject Char"/>
    <w:basedOn w:val="CommentTextChar"/>
    <w:link w:val="CommentSubject"/>
    <w:uiPriority w:val="99"/>
    <w:semiHidden/>
    <w:rsid w:val="00265FED"/>
    <w:rPr>
      <w:rFonts w:eastAsiaTheme="minorEastAsia"/>
      <w:b/>
      <w:bCs/>
      <w:sz w:val="20"/>
      <w:szCs w:val="20"/>
    </w:rPr>
  </w:style>
  <w:style w:type="paragraph" w:styleId="Revision">
    <w:name w:val="Revision"/>
    <w:hidden/>
    <w:uiPriority w:val="99"/>
    <w:semiHidden/>
    <w:rsid w:val="00265FE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571514">
      <w:bodyDiv w:val="1"/>
      <w:marLeft w:val="0"/>
      <w:marRight w:val="0"/>
      <w:marTop w:val="0"/>
      <w:marBottom w:val="0"/>
      <w:divBdr>
        <w:top w:val="none" w:sz="0" w:space="0" w:color="auto"/>
        <w:left w:val="none" w:sz="0" w:space="0" w:color="auto"/>
        <w:bottom w:val="none" w:sz="0" w:space="0" w:color="auto"/>
        <w:right w:val="none" w:sz="0" w:space="0" w:color="auto"/>
      </w:divBdr>
    </w:div>
    <w:div w:id="293143249">
      <w:bodyDiv w:val="1"/>
      <w:marLeft w:val="0"/>
      <w:marRight w:val="0"/>
      <w:marTop w:val="0"/>
      <w:marBottom w:val="0"/>
      <w:divBdr>
        <w:top w:val="none" w:sz="0" w:space="0" w:color="auto"/>
        <w:left w:val="none" w:sz="0" w:space="0" w:color="auto"/>
        <w:bottom w:val="none" w:sz="0" w:space="0" w:color="auto"/>
        <w:right w:val="none" w:sz="0" w:space="0" w:color="auto"/>
      </w:divBdr>
    </w:div>
    <w:div w:id="694236636">
      <w:bodyDiv w:val="1"/>
      <w:marLeft w:val="0"/>
      <w:marRight w:val="0"/>
      <w:marTop w:val="0"/>
      <w:marBottom w:val="0"/>
      <w:divBdr>
        <w:top w:val="none" w:sz="0" w:space="0" w:color="auto"/>
        <w:left w:val="none" w:sz="0" w:space="0" w:color="auto"/>
        <w:bottom w:val="none" w:sz="0" w:space="0" w:color="auto"/>
        <w:right w:val="none" w:sz="0" w:space="0" w:color="auto"/>
      </w:divBdr>
    </w:div>
    <w:div w:id="1440177806">
      <w:bodyDiv w:val="1"/>
      <w:marLeft w:val="0"/>
      <w:marRight w:val="0"/>
      <w:marTop w:val="0"/>
      <w:marBottom w:val="0"/>
      <w:divBdr>
        <w:top w:val="none" w:sz="0" w:space="0" w:color="auto"/>
        <w:left w:val="none" w:sz="0" w:space="0" w:color="auto"/>
        <w:bottom w:val="none" w:sz="0" w:space="0" w:color="auto"/>
        <w:right w:val="none" w:sz="0" w:space="0" w:color="auto"/>
      </w:divBdr>
      <w:divsChild>
        <w:div w:id="289626090">
          <w:marLeft w:val="0"/>
          <w:marRight w:val="0"/>
          <w:marTop w:val="0"/>
          <w:marBottom w:val="0"/>
          <w:divBdr>
            <w:top w:val="none" w:sz="0" w:space="0" w:color="auto"/>
            <w:left w:val="none" w:sz="0" w:space="0" w:color="auto"/>
            <w:bottom w:val="none" w:sz="0" w:space="0" w:color="auto"/>
            <w:right w:val="none" w:sz="0" w:space="0" w:color="auto"/>
          </w:divBdr>
          <w:divsChild>
            <w:div w:id="1937900054">
              <w:marLeft w:val="0"/>
              <w:marRight w:val="0"/>
              <w:marTop w:val="112"/>
              <w:marBottom w:val="0"/>
              <w:divBdr>
                <w:top w:val="single" w:sz="8" w:space="6" w:color="666666"/>
                <w:left w:val="none" w:sz="0" w:space="0" w:color="auto"/>
                <w:bottom w:val="none" w:sz="0" w:space="0" w:color="auto"/>
                <w:right w:val="none" w:sz="0" w:space="0" w:color="auto"/>
              </w:divBdr>
            </w:div>
          </w:divsChild>
        </w:div>
      </w:divsChild>
    </w:div>
    <w:div w:id="1749575689">
      <w:bodyDiv w:val="1"/>
      <w:marLeft w:val="0"/>
      <w:marRight w:val="0"/>
      <w:marTop w:val="0"/>
      <w:marBottom w:val="0"/>
      <w:divBdr>
        <w:top w:val="none" w:sz="0" w:space="0" w:color="auto"/>
        <w:left w:val="none" w:sz="0" w:space="0" w:color="auto"/>
        <w:bottom w:val="none" w:sz="0" w:space="0" w:color="auto"/>
        <w:right w:val="none" w:sz="0" w:space="0" w:color="auto"/>
      </w:divBdr>
    </w:div>
    <w:div w:id="1913809817">
      <w:bodyDiv w:val="1"/>
      <w:marLeft w:val="0"/>
      <w:marRight w:val="0"/>
      <w:marTop w:val="0"/>
      <w:marBottom w:val="0"/>
      <w:divBdr>
        <w:top w:val="none" w:sz="0" w:space="0" w:color="auto"/>
        <w:left w:val="none" w:sz="0" w:space="0" w:color="auto"/>
        <w:bottom w:val="none" w:sz="0" w:space="0" w:color="auto"/>
        <w:right w:val="none" w:sz="0" w:space="0" w:color="auto"/>
      </w:divBdr>
    </w:div>
    <w:div w:id="1997176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3.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eader" Target="header8.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D70B85-C9E5-40A4-B5CD-1AEEA0585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28</Pages>
  <Words>9752</Words>
  <Characters>55593</Characters>
  <Application>Microsoft Office Word</Application>
  <DocSecurity>4</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FSC Group</Company>
  <LinksUpToDate>false</LinksUpToDate>
  <CharactersWithSpaces>65215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Rohde</dc:creator>
  <cp:lastModifiedBy>Wong, Gil (M&amp;E)</cp:lastModifiedBy>
  <cp:revision>2</cp:revision>
  <cp:lastPrinted>2013-03-18T17:30:00Z</cp:lastPrinted>
  <dcterms:created xsi:type="dcterms:W3CDTF">2013-03-30T00:48:00Z</dcterms:created>
  <dcterms:modified xsi:type="dcterms:W3CDTF">2013-03-30T00:48:00Z</dcterms:modified>
</cp:coreProperties>
</file>